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jc w:val="center"/>
      </w:pPr>
      <w:r>
        <w:rPr>
          <w:b/>
          <w:bCs/>
          <w:color w:val="1C314A"/>
          <w:sz w:val="40"/>
          <w:szCs w:val="40"/>
        </w:rPr>
        <w:t xml:space="preserve">CURSO COMPLETO DE ASTROLOGÍA MUNDIAL</w:t>
      </w:r>
    </w:p>
    <w:p>
      <w:pPr>
        <w:spacing w:after="200"/>
        <w:jc w:val="center"/>
      </w:pPr>
      <w:r>
        <w:rPr>
          <w:b/>
          <w:bCs/>
          <w:color w:val="2B5F82"/>
          <w:sz w:val="28"/>
          <w:szCs w:val="28"/>
        </w:rPr>
        <w:t xml:space="preserve">Programa del curso (Syllabus)</w:t>
      </w:r>
    </w:p>
    <w:p>
      <w:pPr>
        <w:spacing w:after="500"/>
        <w:jc w:val="center"/>
      </w:pPr>
      <w:r>
        <w:rPr>
          <w:color w:val="5C6770"/>
          <w:sz w:val="20"/>
          <w:szCs w:val="20"/>
        </w:rPr>
        <w:t xml:space="preserve">Edición española · 40 lecciones · enriquecido con fuentes primarias</w:t>
      </w:r>
    </w:p>
    <w:p>
      <w:pPr>
        <w:pStyle w:val="Heading1"/>
        <w:spacing w:after="200" w:before="200"/>
      </w:pPr>
      <w:r>
        <w:rPr>
          <w:color w:val="1C314A"/>
        </w:rPr>
        <w:t xml:space="preserve">Por qué los verdaderos astrólogos se interesan en la astrología mundial</w:t>
      </w:r>
    </w:p>
    <w:p>
      <w:pPr>
        <w:spacing w:after="200"/>
        <w:jc w:val="both"/>
      </w:pPr>
      <w:r>
        <w:rPr>
          <w:sz w:val="22"/>
          <w:szCs w:val="22"/>
        </w:rPr>
        <w:t xml:space="preserve">La astrología natal responde por una sola vida. La astrología mundial responde por todos a la vez: el destino de una ciudad, un gobierno, un ejército, una cosecha, una epidemia. Es la rama que los antiguos reservaban para lo que un rey necesitaba saber antes de poder permitirse equivocarse: si este año trae guerra o paz, abundancia o hambruna, un trono estable o uno disputado.</w:t>
      </w:r>
    </w:p>
    <w:p>
      <w:pPr>
        <w:spacing w:after="200"/>
        <w:jc w:val="both"/>
      </w:pPr>
      <w:r>
        <w:rPr>
          <w:sz w:val="22"/>
          <w:szCs w:val="22"/>
        </w:rPr>
        <w:t xml:space="preserve">La tradición la toma en serio porque las fuentes la toman en serio. Claudio Ptolomeo dedicó el segundo libro del Tetrabiblos a esta materia antes de llegar siquiera a la natividad individual, porque en el esquema helenístico el destino de las naciones precede lógicamente al destino de las personas: no se puede juzgar una vida sin juzgar antes la época en que se vive. Abū Ma'shar construyó toda una doctrina de la historia sobre ella: las grandes conjunciones de Saturno y Júpiter, leídas a lo largo de los siglos, que marcan el ascenso y la caída de las dinastías, la aparición de los profetas y el giro de los imperios. Māshā'allāh utilizó los mismos instrumentos —ingresos, conjunciones, eclipses— para aconsejar sobre la fortuna de gobernantes y estados en su propio siglo. ʿAlī ibn Abī al-Rijāl, en el Libro VIII de su gran compendio, expuso, capítulo por capítulo, cómo la misma figura que gobierna una vida gobierna también a un rey, a un pueblo, a una guerra, a un mercado, a una cosecha. William Ramesey reunió y sistematizó todo este arte en inglés en 1653, en Astrologia Munda, para que un estudiante serio ya no tuviera que reconstruir la doctrina mundial a partir de fragmentos dispersos en una docena de fuentes.</w:t>
      </w:r>
    </w:p>
    <w:p>
      <w:pPr>
        <w:spacing w:after="200"/>
        <w:jc w:val="both"/>
      </w:pPr>
      <w:r>
        <w:rPr>
          <w:sz w:val="22"/>
          <w:szCs w:val="22"/>
        </w:rPr>
        <w:t xml:space="preserve">Por eso la astrología mundial nunca ha sido una curiosidad para los grandes autores de la tradición: es donde el arte se puso a prueba primero, en público, frente a resultados que poblaciones enteras vivieron: un asedio, una coronación, una hambruna, una peste. El juicio de una carta natal puede estar silenciosamente equivocado durante años sin que nadie lo note. Un juicio mundial sobre si el rey sobrevive el año, si la cosecha fracasa o si la guerra se gana, se pone a prueba de inmediato y ante todos.</w:t>
      </w:r>
    </w:p>
    <w:p>
      <w:pPr>
        <w:spacing w:after="200"/>
        <w:jc w:val="both"/>
      </w:pPr>
      <w:r>
        <w:rPr>
          <w:sz w:val="22"/>
          <w:szCs w:val="22"/>
        </w:rPr>
        <w:t xml:space="preserve">Este curso sigue ese mismo estándar. No trata a las naciones y a los reyes como una versión ampliada de la natividad de una persona: enseña la figura del año, el Señor del Año, las grandes conjunciones, los eclipses y las delineaciones específicas que las fuentes ofrecen sobre reyes, pueblos, guerra, peste, precios y clima, exactamente como las transmitieron Ptolomeo, Abū Ma'shar, Māshā'allāh, ʿAlī ibn Abī al-Rijāl y Ramesey, de modo que una afirmación sobre una ciudad, un estado o un país pueda hacerse tal como la hacían los antiguos: abiertamente, por escrito, y respondiendo ante lo que realmente sucede.</w:t>
      </w:r>
    </w:p>
    <w:p>
      <w:pPr>
        <w:pageBreakBefore/>
      </w:pPr>
      <w:r>
        <w:br/>
        <w:t xml:space="preserve"/>
      </w:r>
    </w:p>
    <w:p>
      <w:pPr>
        <w:pStyle w:val="Heading1"/>
        <w:spacing w:after="240" w:before="0"/>
      </w:pPr>
      <w:r>
        <w:rPr>
          <w:color w:val="1C314A"/>
        </w:rPr>
        <w:t xml:space="preserve">Programa del curso</w:t>
      </w:r>
    </w:p>
    <w:p>
      <w:pPr>
        <w:spacing w:after="60" w:before="320"/>
      </w:pPr>
      <w:r>
        <w:rPr>
          <w:b/>
          <w:bCs/>
          <w:color w:val="1C314A"/>
          <w:sz w:val="26"/>
          <w:szCs w:val="26"/>
        </w:rPr>
        <w:t xml:space="preserve">Sección Uno — El lenguaje, y la figura del año</w:t>
      </w:r>
    </w:p>
    <w:p>
      <w:pPr>
        <w:spacing w:after="140"/>
      </w:pPr>
      <w:r>
        <w:rPr>
          <w:i/>
          <w:iCs/>
          <w:color w:val="5C6770"/>
          <w:sz w:val="20"/>
          <w:szCs w:val="20"/>
        </w:rPr>
        <w:t xml:space="preserve">Lecciones 1–10</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1</w:t>
            </w:r>
          </w:p>
        </w:tc>
        <w:tc>
          <w:tcPr>
            <w:tcW w:type="dxa" w:w="8100"/>
            <w:tcMar>
              <w:top w:type="dxa" w:w="100"/>
              <w:left w:type="dxa" w:w="160"/>
              <w:bottom w:type="dxa" w:w="100"/>
              <w:right w:type="dxa" w:w="120"/>
            </w:tcMar>
          </w:tcPr>
          <w:p>
            <w:r>
              <w:t xml:space="preserve">El objeto de juicio de la astrología mundial</w:t>
            </w:r>
          </w:p>
        </w:tc>
      </w:tr>
      <w:tr>
        <w:tc>
          <w:tcPr>
            <w:tcW w:type="dxa" w:w="900"/>
            <w:shd w:fill="EAF1F6" w:val="clear"/>
            <w:tcMar>
              <w:top w:type="dxa" w:w="100"/>
              <w:left w:type="dxa" w:w="120"/>
              <w:bottom w:type="dxa" w:w="100"/>
              <w:right w:type="dxa" w:w="120"/>
            </w:tcMar>
          </w:tcPr>
          <w:p>
            <w:pPr>
              <w:jc w:val="center"/>
            </w:pPr>
            <w:r>
              <w:rPr>
                <w:b/>
                <w:bCs/>
                <w:color w:val="2B5F82"/>
              </w:rPr>
              <w:t xml:space="preserve">2</w:t>
            </w:r>
          </w:p>
        </w:tc>
        <w:tc>
          <w:tcPr>
            <w:tcW w:type="dxa" w:w="8100"/>
            <w:tcMar>
              <w:top w:type="dxa" w:w="100"/>
              <w:left w:type="dxa" w:w="160"/>
              <w:bottom w:type="dxa" w:w="100"/>
              <w:right w:type="dxa" w:w="120"/>
            </w:tcMar>
          </w:tcPr>
          <w:p>
            <w:r>
              <w:t xml:space="preserve">El zodíaco y los signos en el juicio mundial</w:t>
            </w:r>
          </w:p>
        </w:tc>
      </w:tr>
      <w:tr>
        <w:tc>
          <w:tcPr>
            <w:tcW w:type="dxa" w:w="900"/>
            <w:shd w:fill="EAF1F6" w:val="clear"/>
            <w:tcMar>
              <w:top w:type="dxa" w:w="100"/>
              <w:left w:type="dxa" w:w="120"/>
              <w:bottom w:type="dxa" w:w="100"/>
              <w:right w:type="dxa" w:w="120"/>
            </w:tcMar>
          </w:tcPr>
          <w:p>
            <w:pPr>
              <w:jc w:val="center"/>
            </w:pPr>
            <w:r>
              <w:rPr>
                <w:b/>
                <w:bCs/>
                <w:color w:val="2B5F82"/>
              </w:rPr>
              <w:t xml:space="preserve">3</w:t>
            </w:r>
          </w:p>
        </w:tc>
        <w:tc>
          <w:tcPr>
            <w:tcW w:type="dxa" w:w="8100"/>
            <w:tcMar>
              <w:top w:type="dxa" w:w="100"/>
              <w:left w:type="dxa" w:w="160"/>
              <w:bottom w:type="dxa" w:w="100"/>
              <w:right w:type="dxa" w:w="120"/>
            </w:tcMar>
          </w:tcPr>
          <w:p>
            <w:r>
              <w:t xml:space="preserve">Erigiendo la figura mundial</w:t>
            </w:r>
          </w:p>
        </w:tc>
      </w:tr>
      <w:tr>
        <w:tc>
          <w:tcPr>
            <w:tcW w:type="dxa" w:w="900"/>
            <w:shd w:fill="EAF1F6" w:val="clear"/>
            <w:tcMar>
              <w:top w:type="dxa" w:w="100"/>
              <w:left w:type="dxa" w:w="120"/>
              <w:bottom w:type="dxa" w:w="100"/>
              <w:right w:type="dxa" w:w="120"/>
            </w:tcMar>
          </w:tcPr>
          <w:p>
            <w:pPr>
              <w:jc w:val="center"/>
            </w:pPr>
            <w:r>
              <w:rPr>
                <w:b/>
                <w:bCs/>
                <w:color w:val="2B5F82"/>
              </w:rPr>
              <w:t xml:space="preserve">4</w:t>
            </w:r>
          </w:p>
        </w:tc>
        <w:tc>
          <w:tcPr>
            <w:tcW w:type="dxa" w:w="8100"/>
            <w:tcMar>
              <w:top w:type="dxa" w:w="100"/>
              <w:left w:type="dxa" w:w="160"/>
              <w:bottom w:type="dxa" w:w="100"/>
              <w:right w:type="dxa" w:w="120"/>
            </w:tcMar>
          </w:tcPr>
          <w:p>
            <w:r>
              <w:t xml:space="preserve">Las Casas I — los ángulos y los sucedentes</w:t>
            </w:r>
          </w:p>
        </w:tc>
      </w:tr>
      <w:tr>
        <w:tc>
          <w:tcPr>
            <w:tcW w:type="dxa" w:w="900"/>
            <w:shd w:fill="EAF1F6" w:val="clear"/>
            <w:tcMar>
              <w:top w:type="dxa" w:w="100"/>
              <w:left w:type="dxa" w:w="120"/>
              <w:bottom w:type="dxa" w:w="100"/>
              <w:right w:type="dxa" w:w="120"/>
            </w:tcMar>
          </w:tcPr>
          <w:p>
            <w:pPr>
              <w:jc w:val="center"/>
            </w:pPr>
            <w:r>
              <w:rPr>
                <w:b/>
                <w:bCs/>
                <w:color w:val="2B5F82"/>
              </w:rPr>
              <w:t xml:space="preserve">5</w:t>
            </w:r>
          </w:p>
        </w:tc>
        <w:tc>
          <w:tcPr>
            <w:tcW w:type="dxa" w:w="8100"/>
            <w:tcMar>
              <w:top w:type="dxa" w:w="100"/>
              <w:left w:type="dxa" w:w="160"/>
              <w:bottom w:type="dxa" w:w="100"/>
              <w:right w:type="dxa" w:w="120"/>
            </w:tcMar>
          </w:tcPr>
          <w:p>
            <w:r>
              <w:t xml:space="preserve">Las Casas II — los cadentes, las casas derivadas y el algoritmo de juicio</w:t>
            </w:r>
          </w:p>
        </w:tc>
      </w:tr>
      <w:tr>
        <w:tc>
          <w:tcPr>
            <w:tcW w:type="dxa" w:w="900"/>
            <w:shd w:fill="EAF1F6" w:val="clear"/>
            <w:tcMar>
              <w:top w:type="dxa" w:w="100"/>
              <w:left w:type="dxa" w:w="120"/>
              <w:bottom w:type="dxa" w:w="100"/>
              <w:right w:type="dxa" w:w="120"/>
            </w:tcMar>
          </w:tcPr>
          <w:p>
            <w:pPr>
              <w:jc w:val="center"/>
            </w:pPr>
            <w:r>
              <w:rPr>
                <w:b/>
                <w:bCs/>
                <w:color w:val="2B5F82"/>
              </w:rPr>
              <w:t xml:space="preserve">6</w:t>
            </w:r>
          </w:p>
        </w:tc>
        <w:tc>
          <w:tcPr>
            <w:tcW w:type="dxa" w:w="8100"/>
            <w:tcMar>
              <w:top w:type="dxa" w:w="100"/>
              <w:left w:type="dxa" w:w="160"/>
              <w:bottom w:type="dxa" w:w="100"/>
              <w:right w:type="dxa" w:w="120"/>
            </w:tcMar>
          </w:tcPr>
          <w:p>
            <w:r>
              <w:t xml:space="preserve">Los planetas y los señores del día y de la hora</w:t>
            </w:r>
          </w:p>
        </w:tc>
      </w:tr>
      <w:tr>
        <w:tc>
          <w:tcPr>
            <w:tcW w:type="dxa" w:w="900"/>
            <w:shd w:fill="EAF1F6" w:val="clear"/>
            <w:tcMar>
              <w:top w:type="dxa" w:w="100"/>
              <w:left w:type="dxa" w:w="120"/>
              <w:bottom w:type="dxa" w:w="100"/>
              <w:right w:type="dxa" w:w="120"/>
            </w:tcMar>
          </w:tcPr>
          <w:p>
            <w:pPr>
              <w:jc w:val="center"/>
            </w:pPr>
            <w:r>
              <w:rPr>
                <w:b/>
                <w:bCs/>
                <w:color w:val="2B5F82"/>
              </w:rPr>
              <w:t xml:space="preserve">7</w:t>
            </w:r>
          </w:p>
        </w:tc>
        <w:tc>
          <w:tcPr>
            <w:tcW w:type="dxa" w:w="8100"/>
            <w:tcMar>
              <w:top w:type="dxa" w:w="100"/>
              <w:left w:type="dxa" w:w="160"/>
              <w:bottom w:type="dxa" w:w="100"/>
              <w:right w:type="dxa" w:w="120"/>
            </w:tcMar>
          </w:tcPr>
          <w:p>
            <w:r>
              <w:t xml:space="preserve">La Luna</w:t>
            </w:r>
          </w:p>
        </w:tc>
      </w:tr>
      <w:tr>
        <w:tc>
          <w:tcPr>
            <w:tcW w:type="dxa" w:w="900"/>
            <w:shd w:fill="EAF1F6" w:val="clear"/>
            <w:tcMar>
              <w:top w:type="dxa" w:w="100"/>
              <w:left w:type="dxa" w:w="120"/>
              <w:bottom w:type="dxa" w:w="100"/>
              <w:right w:type="dxa" w:w="120"/>
            </w:tcMar>
          </w:tcPr>
          <w:p>
            <w:pPr>
              <w:jc w:val="center"/>
            </w:pPr>
            <w:r>
              <w:rPr>
                <w:b/>
                <w:bCs/>
                <w:color w:val="2B5F82"/>
              </w:rPr>
              <w:t xml:space="preserve">8</w:t>
            </w:r>
          </w:p>
        </w:tc>
        <w:tc>
          <w:tcPr>
            <w:tcW w:type="dxa" w:w="8100"/>
            <w:tcMar>
              <w:top w:type="dxa" w:w="100"/>
              <w:left w:type="dxa" w:w="160"/>
              <w:bottom w:type="dxa" w:w="100"/>
              <w:right w:type="dxa" w:w="120"/>
            </w:tcMar>
          </w:tcPr>
          <w:p>
            <w:r>
              <w:t xml:space="preserve">Dignidad esencial, recepción y las dos palabras que los traductores confundieron</w:t>
            </w:r>
          </w:p>
        </w:tc>
      </w:tr>
      <w:tr>
        <w:tc>
          <w:tcPr>
            <w:tcW w:type="dxa" w:w="900"/>
            <w:shd w:fill="EAF1F6" w:val="clear"/>
            <w:tcMar>
              <w:top w:type="dxa" w:w="100"/>
              <w:left w:type="dxa" w:w="120"/>
              <w:bottom w:type="dxa" w:w="100"/>
              <w:right w:type="dxa" w:w="120"/>
            </w:tcMar>
          </w:tcPr>
          <w:p>
            <w:pPr>
              <w:jc w:val="center"/>
            </w:pPr>
            <w:r>
              <w:rPr>
                <w:b/>
                <w:bCs/>
                <w:color w:val="2B5F82"/>
              </w:rPr>
              <w:t xml:space="preserve">9</w:t>
            </w:r>
          </w:p>
        </w:tc>
        <w:tc>
          <w:tcPr>
            <w:tcW w:type="dxa" w:w="8100"/>
            <w:tcMar>
              <w:top w:type="dxa" w:w="100"/>
              <w:left w:type="dxa" w:w="160"/>
              <w:bottom w:type="dxa" w:w="100"/>
              <w:right w:type="dxa" w:w="120"/>
            </w:tcMar>
          </w:tcPr>
          <w:p>
            <w:r>
              <w:t xml:space="preserve">Dignidad accidental y la condición de un planeta · PUERTA</w:t>
            </w:r>
          </w:p>
        </w:tc>
      </w:tr>
      <w:tr>
        <w:tc>
          <w:tcPr>
            <w:tcW w:type="dxa" w:w="900"/>
            <w:shd w:fill="EAF1F6" w:val="clear"/>
            <w:tcMar>
              <w:top w:type="dxa" w:w="100"/>
              <w:left w:type="dxa" w:w="120"/>
              <w:bottom w:type="dxa" w:w="100"/>
              <w:right w:type="dxa" w:w="120"/>
            </w:tcMar>
          </w:tcPr>
          <w:p>
            <w:pPr>
              <w:jc w:val="center"/>
            </w:pPr>
            <w:r>
              <w:rPr>
                <w:b/>
                <w:bCs/>
                <w:color w:val="2B5F82"/>
              </w:rPr>
              <w:t xml:space="preserve">10</w:t>
            </w:r>
          </w:p>
        </w:tc>
        <w:tc>
          <w:tcPr>
            <w:tcW w:type="dxa" w:w="8100"/>
            <w:tcMar>
              <w:top w:type="dxa" w:w="100"/>
              <w:left w:type="dxa" w:w="160"/>
              <w:bottom w:type="dxa" w:w="100"/>
              <w:right w:type="dxa" w:w="120"/>
            </w:tcMar>
          </w:tcPr>
          <w:p>
            <w:r>
              <w:t xml:space="preserve">El ingreso en Aries — la figura del año</w:t>
            </w:r>
          </w:p>
        </w:tc>
      </w:tr>
    </w:tbl>
    <w:p/>
    <w:p>
      <w:pPr>
        <w:spacing w:after="60" w:before="320"/>
      </w:pPr>
      <w:r>
        <w:rPr>
          <w:b/>
          <w:bCs/>
          <w:color w:val="1C314A"/>
          <w:sz w:val="26"/>
          <w:szCs w:val="26"/>
        </w:rPr>
        <w:t xml:space="preserve">Sección Dos — El Señor del Año y los grandes ciclos</w:t>
      </w:r>
    </w:p>
    <w:p>
      <w:pPr>
        <w:spacing w:after="140"/>
      </w:pPr>
      <w:r>
        <w:rPr>
          <w:i/>
          <w:iCs/>
          <w:color w:val="5C6770"/>
          <w:sz w:val="20"/>
          <w:szCs w:val="20"/>
        </w:rPr>
        <w:t xml:space="preserve">Lecciones 11–20</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11</w:t>
            </w:r>
          </w:p>
        </w:tc>
        <w:tc>
          <w:tcPr>
            <w:tcW w:type="dxa" w:w="8100"/>
            <w:tcMar>
              <w:top w:type="dxa" w:w="100"/>
              <w:left w:type="dxa" w:w="160"/>
              <w:bottom w:type="dxa" w:w="100"/>
              <w:right w:type="dxa" w:w="120"/>
            </w:tcMar>
          </w:tcPr>
          <w:p>
            <w:r>
              <w:t xml:space="preserve">El Señor del Año · PUERTA</w:t>
            </w:r>
          </w:p>
        </w:tc>
      </w:tr>
      <w:tr>
        <w:tc>
          <w:tcPr>
            <w:tcW w:type="dxa" w:w="900"/>
            <w:shd w:fill="EAF1F6" w:val="clear"/>
            <w:tcMar>
              <w:top w:type="dxa" w:w="100"/>
              <w:left w:type="dxa" w:w="120"/>
              <w:bottom w:type="dxa" w:w="100"/>
              <w:right w:type="dxa" w:w="120"/>
            </w:tcMar>
          </w:tcPr>
          <w:p>
            <w:pPr>
              <w:jc w:val="center"/>
            </w:pPr>
            <w:r>
              <w:rPr>
                <w:b/>
                <w:bCs/>
                <w:color w:val="2B5F82"/>
              </w:rPr>
              <w:t xml:space="preserve">12</w:t>
            </w:r>
          </w:p>
        </w:tc>
        <w:tc>
          <w:tcPr>
            <w:tcW w:type="dxa" w:w="8100"/>
            <w:tcMar>
              <w:top w:type="dxa" w:w="100"/>
              <w:left w:type="dxa" w:w="160"/>
              <w:bottom w:type="dxa" w:w="100"/>
              <w:right w:type="dxa" w:w="120"/>
            </w:tcMar>
          </w:tcPr>
          <w:p>
            <w:r>
              <w:t xml:space="preserve">El Señor del Año juzgado</w:t>
            </w:r>
          </w:p>
        </w:tc>
      </w:tr>
      <w:tr>
        <w:tc>
          <w:tcPr>
            <w:tcW w:type="dxa" w:w="900"/>
            <w:shd w:fill="EAF1F6" w:val="clear"/>
            <w:tcMar>
              <w:top w:type="dxa" w:w="100"/>
              <w:left w:type="dxa" w:w="120"/>
              <w:bottom w:type="dxa" w:w="100"/>
              <w:right w:type="dxa" w:w="120"/>
            </w:tcMar>
          </w:tcPr>
          <w:p>
            <w:pPr>
              <w:jc w:val="center"/>
            </w:pPr>
            <w:r>
              <w:rPr>
                <w:b/>
                <w:bCs/>
                <w:color w:val="2B5F82"/>
              </w:rPr>
              <w:t xml:space="preserve">13</w:t>
            </w:r>
          </w:p>
        </w:tc>
        <w:tc>
          <w:tcPr>
            <w:tcW w:type="dxa" w:w="8100"/>
            <w:tcMar>
              <w:top w:type="dxa" w:w="100"/>
              <w:left w:type="dxa" w:w="160"/>
              <w:bottom w:type="dxa" w:w="100"/>
              <w:right w:type="dxa" w:w="120"/>
            </w:tcMar>
          </w:tcPr>
          <w:p>
            <w:r>
              <w:t xml:space="preserve">El Señor del Año a través de los doce signos</w:t>
            </w:r>
          </w:p>
        </w:tc>
      </w:tr>
      <w:tr>
        <w:tc>
          <w:tcPr>
            <w:tcW w:type="dxa" w:w="900"/>
            <w:shd w:fill="EAF1F6" w:val="clear"/>
            <w:tcMar>
              <w:top w:type="dxa" w:w="100"/>
              <w:left w:type="dxa" w:w="120"/>
              <w:bottom w:type="dxa" w:w="100"/>
              <w:right w:type="dxa" w:w="120"/>
            </w:tcMar>
          </w:tcPr>
          <w:p>
            <w:pPr>
              <w:jc w:val="center"/>
            </w:pPr>
            <w:r>
              <w:rPr>
                <w:b/>
                <w:bCs/>
                <w:color w:val="2B5F82"/>
              </w:rPr>
              <w:t xml:space="preserve">14</w:t>
            </w:r>
          </w:p>
        </w:tc>
        <w:tc>
          <w:tcPr>
            <w:tcW w:type="dxa" w:w="8100"/>
            <w:tcMar>
              <w:top w:type="dxa" w:w="100"/>
              <w:left w:type="dxa" w:w="160"/>
              <w:bottom w:type="dxa" w:w="100"/>
              <w:right w:type="dxa" w:w="120"/>
            </w:tcMar>
          </w:tcPr>
          <w:p>
            <w:r>
              <w:t xml:space="preserve">La Cabeza y la Cola del Dragón</w:t>
            </w:r>
          </w:p>
        </w:tc>
      </w:tr>
      <w:tr>
        <w:tc>
          <w:tcPr>
            <w:tcW w:type="dxa" w:w="900"/>
            <w:shd w:fill="EAF1F6" w:val="clear"/>
            <w:tcMar>
              <w:top w:type="dxa" w:w="100"/>
              <w:left w:type="dxa" w:w="120"/>
              <w:bottom w:type="dxa" w:w="100"/>
              <w:right w:type="dxa" w:w="120"/>
            </w:tcMar>
          </w:tcPr>
          <w:p>
            <w:pPr>
              <w:jc w:val="center"/>
            </w:pPr>
            <w:r>
              <w:rPr>
                <w:b/>
                <w:bCs/>
                <w:color w:val="2B5F82"/>
              </w:rPr>
              <w:t xml:space="preserve">15</w:t>
            </w:r>
          </w:p>
        </w:tc>
        <w:tc>
          <w:tcPr>
            <w:tcW w:type="dxa" w:w="8100"/>
            <w:tcMar>
              <w:top w:type="dxa" w:w="100"/>
              <w:left w:type="dxa" w:w="160"/>
              <w:bottom w:type="dxa" w:w="100"/>
              <w:right w:type="dxa" w:w="120"/>
            </w:tcMar>
          </w:tcPr>
          <w:p>
            <w:r>
              <w:t xml:space="preserve">Los aspectos, la aplicación y la separación</w:t>
            </w:r>
          </w:p>
        </w:tc>
      </w:tr>
      <w:tr>
        <w:tc>
          <w:tcPr>
            <w:tcW w:type="dxa" w:w="900"/>
            <w:shd w:fill="EAF1F6" w:val="clear"/>
            <w:tcMar>
              <w:top w:type="dxa" w:w="100"/>
              <w:left w:type="dxa" w:w="120"/>
              <w:bottom w:type="dxa" w:w="100"/>
              <w:right w:type="dxa" w:w="120"/>
            </w:tcMar>
          </w:tcPr>
          <w:p>
            <w:pPr>
              <w:jc w:val="center"/>
            </w:pPr>
            <w:r>
              <w:rPr>
                <w:b/>
                <w:bCs/>
                <w:color w:val="2B5F82"/>
              </w:rPr>
              <w:t xml:space="preserve">16</w:t>
            </w:r>
          </w:p>
        </w:tc>
        <w:tc>
          <w:tcPr>
            <w:tcW w:type="dxa" w:w="8100"/>
            <w:tcMar>
              <w:top w:type="dxa" w:w="100"/>
              <w:left w:type="dxa" w:w="160"/>
              <w:bottom w:type="dxa" w:w="100"/>
              <w:right w:type="dxa" w:w="120"/>
            </w:tcMar>
          </w:tcPr>
          <w:p>
            <w:r>
              <w:t xml:space="preserve">La sicigia previa al ingreso</w:t>
            </w:r>
          </w:p>
        </w:tc>
      </w:tr>
      <w:tr>
        <w:tc>
          <w:tcPr>
            <w:tcW w:type="dxa" w:w="900"/>
            <w:shd w:fill="EAF1F6" w:val="clear"/>
            <w:tcMar>
              <w:top w:type="dxa" w:w="100"/>
              <w:left w:type="dxa" w:w="120"/>
              <w:bottom w:type="dxa" w:w="100"/>
              <w:right w:type="dxa" w:w="120"/>
            </w:tcMar>
          </w:tcPr>
          <w:p>
            <w:pPr>
              <w:jc w:val="center"/>
            </w:pPr>
            <w:r>
              <w:rPr>
                <w:b/>
                <w:bCs/>
                <w:color w:val="2B5F82"/>
              </w:rPr>
              <w:t xml:space="preserve">17</w:t>
            </w:r>
          </w:p>
        </w:tc>
        <w:tc>
          <w:tcPr>
            <w:tcW w:type="dxa" w:w="8100"/>
            <w:tcMar>
              <w:top w:type="dxa" w:w="100"/>
              <w:left w:type="dxa" w:w="160"/>
              <w:bottom w:type="dxa" w:w="100"/>
              <w:right w:type="dxa" w:w="120"/>
            </w:tcMar>
          </w:tcPr>
          <w:p>
            <w:r>
              <w:t xml:space="preserve">Los eclipses</w:t>
            </w:r>
          </w:p>
        </w:tc>
      </w:tr>
      <w:tr>
        <w:tc>
          <w:tcPr>
            <w:tcW w:type="dxa" w:w="900"/>
            <w:shd w:fill="EAF1F6" w:val="clear"/>
            <w:tcMar>
              <w:top w:type="dxa" w:w="100"/>
              <w:left w:type="dxa" w:w="120"/>
              <w:bottom w:type="dxa" w:w="100"/>
              <w:right w:type="dxa" w:w="120"/>
            </w:tcMar>
          </w:tcPr>
          <w:p>
            <w:pPr>
              <w:jc w:val="center"/>
            </w:pPr>
            <w:r>
              <w:rPr>
                <w:b/>
                <w:bCs/>
                <w:color w:val="2B5F82"/>
              </w:rPr>
              <w:t xml:space="preserve">18</w:t>
            </w:r>
          </w:p>
        </w:tc>
        <w:tc>
          <w:tcPr>
            <w:tcW w:type="dxa" w:w="8100"/>
            <w:tcMar>
              <w:top w:type="dxa" w:w="100"/>
              <w:left w:type="dxa" w:w="160"/>
              <w:bottom w:type="dxa" w:w="100"/>
              <w:right w:type="dxa" w:w="120"/>
            </w:tcMar>
          </w:tcPr>
          <w:p>
            <w:r>
              <w:t xml:space="preserve">Los cometas y las estrellas ardientes</w:t>
            </w:r>
          </w:p>
        </w:tc>
      </w:tr>
      <w:tr>
        <w:tc>
          <w:tcPr>
            <w:tcW w:type="dxa" w:w="900"/>
            <w:shd w:fill="EAF1F6" w:val="clear"/>
            <w:tcMar>
              <w:top w:type="dxa" w:w="100"/>
              <w:left w:type="dxa" w:w="120"/>
              <w:bottom w:type="dxa" w:w="100"/>
              <w:right w:type="dxa" w:w="120"/>
            </w:tcMar>
          </w:tcPr>
          <w:p>
            <w:pPr>
              <w:jc w:val="center"/>
            </w:pPr>
            <w:r>
              <w:rPr>
                <w:b/>
                <w:bCs/>
                <w:color w:val="2B5F82"/>
              </w:rPr>
              <w:t xml:space="preserve">19</w:t>
            </w:r>
          </w:p>
        </w:tc>
        <w:tc>
          <w:tcPr>
            <w:tcW w:type="dxa" w:w="8100"/>
            <w:tcMar>
              <w:top w:type="dxa" w:w="100"/>
              <w:left w:type="dxa" w:w="160"/>
              <w:bottom w:type="dxa" w:w="100"/>
              <w:right w:type="dxa" w:w="120"/>
            </w:tcMar>
          </w:tcPr>
          <w:p>
            <w:r>
              <w:t xml:space="preserve">Los Lotes mundiales</w:t>
            </w:r>
          </w:p>
        </w:tc>
      </w:tr>
      <w:tr>
        <w:tc>
          <w:tcPr>
            <w:tcW w:type="dxa" w:w="900"/>
            <w:shd w:fill="EAF1F6" w:val="clear"/>
            <w:tcMar>
              <w:top w:type="dxa" w:w="100"/>
              <w:left w:type="dxa" w:w="120"/>
              <w:bottom w:type="dxa" w:w="100"/>
              <w:right w:type="dxa" w:w="120"/>
            </w:tcMar>
          </w:tcPr>
          <w:p>
            <w:pPr>
              <w:jc w:val="center"/>
            </w:pPr>
            <w:r>
              <w:rPr>
                <w:b/>
                <w:bCs/>
                <w:color w:val="2B5F82"/>
              </w:rPr>
              <w:t xml:space="preserve">20</w:t>
            </w:r>
          </w:p>
        </w:tc>
        <w:tc>
          <w:tcPr>
            <w:tcW w:type="dxa" w:w="8100"/>
            <w:tcMar>
              <w:top w:type="dxa" w:w="100"/>
              <w:left w:type="dxa" w:w="160"/>
              <w:bottom w:type="dxa" w:w="100"/>
              <w:right w:type="dxa" w:w="120"/>
            </w:tcMar>
          </w:tcPr>
          <w:p>
            <w:r>
              <w:t xml:space="preserve">Las grandes conjunciones de Saturno y Júpiter</w:t>
            </w:r>
          </w:p>
        </w:tc>
      </w:tr>
    </w:tbl>
    <w:p/>
    <w:p>
      <w:pPr>
        <w:spacing w:after="60" w:before="320"/>
      </w:pPr>
      <w:r>
        <w:rPr>
          <w:b/>
          <w:bCs/>
          <w:color w:val="1C314A"/>
          <w:sz w:val="26"/>
          <w:szCs w:val="26"/>
        </w:rPr>
        <w:t xml:space="preserve">Sección Tres — Juzgando reyes, pueblos y el mundo</w:t>
      </w:r>
    </w:p>
    <w:p>
      <w:pPr>
        <w:spacing w:after="140"/>
      </w:pPr>
      <w:r>
        <w:rPr>
          <w:i/>
          <w:iCs/>
          <w:color w:val="5C6770"/>
          <w:sz w:val="20"/>
          <w:szCs w:val="20"/>
        </w:rPr>
        <w:t xml:space="preserve">Lecciones 21–40</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21</w:t>
            </w:r>
          </w:p>
        </w:tc>
        <w:tc>
          <w:tcPr>
            <w:tcW w:type="dxa" w:w="8100"/>
            <w:tcMar>
              <w:top w:type="dxa" w:w="100"/>
              <w:left w:type="dxa" w:w="160"/>
              <w:bottom w:type="dxa" w:w="100"/>
              <w:right w:type="dxa" w:w="120"/>
            </w:tcMar>
          </w:tcPr>
          <w:p>
            <w:r>
              <w:t xml:space="preserve">Los cambios de triplicidad y el gran circuito</w:t>
            </w:r>
          </w:p>
        </w:tc>
      </w:tr>
      <w:tr>
        <w:tc>
          <w:tcPr>
            <w:tcW w:type="dxa" w:w="900"/>
            <w:shd w:fill="EAF1F6" w:val="clear"/>
            <w:tcMar>
              <w:top w:type="dxa" w:w="100"/>
              <w:left w:type="dxa" w:w="120"/>
              <w:bottom w:type="dxa" w:w="100"/>
              <w:right w:type="dxa" w:w="120"/>
            </w:tcMar>
          </w:tcPr>
          <w:p>
            <w:pPr>
              <w:jc w:val="center"/>
            </w:pPr>
            <w:r>
              <w:rPr>
                <w:b/>
                <w:bCs/>
                <w:color w:val="2B5F82"/>
              </w:rPr>
              <w:t xml:space="preserve">22</w:t>
            </w:r>
          </w:p>
        </w:tc>
        <w:tc>
          <w:tcPr>
            <w:tcW w:type="dxa" w:w="8100"/>
            <w:tcMar>
              <w:top w:type="dxa" w:w="100"/>
              <w:left w:type="dxa" w:w="160"/>
              <w:bottom w:type="dxa" w:w="100"/>
              <w:right w:type="dxa" w:w="120"/>
            </w:tcMar>
          </w:tcPr>
          <w:p>
            <w:r>
              <w:t xml:space="preserve">Las figuras de fundación y sucesión</w:t>
            </w:r>
          </w:p>
        </w:tc>
      </w:tr>
      <w:tr>
        <w:tc>
          <w:tcPr>
            <w:tcW w:type="dxa" w:w="900"/>
            <w:shd w:fill="EAF1F6" w:val="clear"/>
            <w:tcMar>
              <w:top w:type="dxa" w:w="100"/>
              <w:left w:type="dxa" w:w="120"/>
              <w:bottom w:type="dxa" w:w="100"/>
              <w:right w:type="dxa" w:w="120"/>
            </w:tcMar>
          </w:tcPr>
          <w:p>
            <w:pPr>
              <w:jc w:val="center"/>
            </w:pPr>
            <w:r>
              <w:rPr>
                <w:b/>
                <w:bCs/>
                <w:color w:val="2B5F82"/>
              </w:rPr>
              <w:t xml:space="preserve">23</w:t>
            </w:r>
          </w:p>
        </w:tc>
        <w:tc>
          <w:tcPr>
            <w:tcW w:type="dxa" w:w="8100"/>
            <w:tcMar>
              <w:top w:type="dxa" w:w="100"/>
              <w:left w:type="dxa" w:w="160"/>
              <w:bottom w:type="dxa" w:w="100"/>
              <w:right w:type="dxa" w:w="120"/>
            </w:tcMar>
          </w:tcPr>
          <w:p>
            <w:r>
              <w:t xml:space="preserve">Profecciones, firdarías y los señores del tiempo</w:t>
            </w:r>
          </w:p>
        </w:tc>
      </w:tr>
      <w:tr>
        <w:tc>
          <w:tcPr>
            <w:tcW w:type="dxa" w:w="900"/>
            <w:shd w:fill="EAF1F6" w:val="clear"/>
            <w:tcMar>
              <w:top w:type="dxa" w:w="100"/>
              <w:left w:type="dxa" w:w="120"/>
              <w:bottom w:type="dxa" w:w="100"/>
              <w:right w:type="dxa" w:w="120"/>
            </w:tcMar>
          </w:tcPr>
          <w:p>
            <w:pPr>
              <w:jc w:val="center"/>
            </w:pPr>
            <w:r>
              <w:rPr>
                <w:b/>
                <w:bCs/>
                <w:color w:val="2B5F82"/>
              </w:rPr>
              <w:t xml:space="preserve">24</w:t>
            </w:r>
          </w:p>
        </w:tc>
        <w:tc>
          <w:tcPr>
            <w:tcW w:type="dxa" w:w="8100"/>
            <w:tcMar>
              <w:top w:type="dxa" w:w="100"/>
              <w:left w:type="dxa" w:w="160"/>
              <w:bottom w:type="dxa" w:w="100"/>
              <w:right w:type="dxa" w:w="120"/>
            </w:tcMar>
          </w:tcPr>
          <w:p>
            <w:r>
              <w:t xml:space="preserve">La sincronización dentro del año</w:t>
            </w:r>
          </w:p>
        </w:tc>
      </w:tr>
      <w:tr>
        <w:tc>
          <w:tcPr>
            <w:tcW w:type="dxa" w:w="900"/>
            <w:shd w:fill="EAF1F6" w:val="clear"/>
            <w:tcMar>
              <w:top w:type="dxa" w:w="100"/>
              <w:left w:type="dxa" w:w="120"/>
              <w:bottom w:type="dxa" w:w="100"/>
              <w:right w:type="dxa" w:w="120"/>
            </w:tcMar>
          </w:tcPr>
          <w:p>
            <w:pPr>
              <w:jc w:val="center"/>
            </w:pPr>
            <w:r>
              <w:rPr>
                <w:b/>
                <w:bCs/>
                <w:color w:val="2B5F82"/>
              </w:rPr>
              <w:t xml:space="preserve">25</w:t>
            </w:r>
          </w:p>
        </w:tc>
        <w:tc>
          <w:tcPr>
            <w:tcW w:type="dxa" w:w="8100"/>
            <w:tcMar>
              <w:top w:type="dxa" w:w="100"/>
              <w:left w:type="dxa" w:w="160"/>
              <w:bottom w:type="dxa" w:w="100"/>
              <w:right w:type="dxa" w:w="120"/>
            </w:tcMar>
          </w:tcPr>
          <w:p>
            <w:r>
              <w:t xml:space="preserve">El rey y el gobierno</w:t>
            </w:r>
          </w:p>
        </w:tc>
      </w:tr>
      <w:tr>
        <w:tc>
          <w:tcPr>
            <w:tcW w:type="dxa" w:w="900"/>
            <w:shd w:fill="EAF1F6" w:val="clear"/>
            <w:tcMar>
              <w:top w:type="dxa" w:w="100"/>
              <w:left w:type="dxa" w:w="120"/>
              <w:bottom w:type="dxa" w:w="100"/>
              <w:right w:type="dxa" w:w="120"/>
            </w:tcMar>
          </w:tcPr>
          <w:p>
            <w:pPr>
              <w:jc w:val="center"/>
            </w:pPr>
            <w:r>
              <w:rPr>
                <w:b/>
                <w:bCs/>
                <w:color w:val="2B5F82"/>
              </w:rPr>
              <w:t xml:space="preserve">26</w:t>
            </w:r>
          </w:p>
        </w:tc>
        <w:tc>
          <w:tcPr>
            <w:tcW w:type="dxa" w:w="8100"/>
            <w:tcMar>
              <w:top w:type="dxa" w:w="100"/>
              <w:left w:type="dxa" w:w="160"/>
              <w:bottom w:type="dxa" w:w="100"/>
              <w:right w:type="dxa" w:w="120"/>
            </w:tcMar>
          </w:tcPr>
          <w:p>
            <w:r>
              <w:t xml:space="preserve">El pueblo y los comunes</w:t>
            </w:r>
          </w:p>
        </w:tc>
      </w:tr>
      <w:tr>
        <w:tc>
          <w:tcPr>
            <w:tcW w:type="dxa" w:w="900"/>
            <w:shd w:fill="EAF1F6" w:val="clear"/>
            <w:tcMar>
              <w:top w:type="dxa" w:w="100"/>
              <w:left w:type="dxa" w:w="120"/>
              <w:bottom w:type="dxa" w:w="100"/>
              <w:right w:type="dxa" w:w="120"/>
            </w:tcMar>
          </w:tcPr>
          <w:p>
            <w:pPr>
              <w:jc w:val="center"/>
            </w:pPr>
            <w:r>
              <w:rPr>
                <w:b/>
                <w:bCs/>
                <w:color w:val="2B5F82"/>
              </w:rPr>
              <w:t xml:space="preserve">27</w:t>
            </w:r>
          </w:p>
        </w:tc>
        <w:tc>
          <w:tcPr>
            <w:tcW w:type="dxa" w:w="8100"/>
            <w:tcMar>
              <w:top w:type="dxa" w:w="100"/>
              <w:left w:type="dxa" w:w="160"/>
              <w:bottom w:type="dxa" w:w="100"/>
              <w:right w:type="dxa" w:w="120"/>
            </w:tcMar>
          </w:tcPr>
          <w:p>
            <w:r>
              <w:t xml:space="preserve">La guerra, los ejércitos y la victoria</w:t>
            </w:r>
          </w:p>
        </w:tc>
      </w:tr>
      <w:tr>
        <w:tc>
          <w:tcPr>
            <w:tcW w:type="dxa" w:w="900"/>
            <w:shd w:fill="EAF1F6" w:val="clear"/>
            <w:tcMar>
              <w:top w:type="dxa" w:w="100"/>
              <w:left w:type="dxa" w:w="120"/>
              <w:bottom w:type="dxa" w:w="100"/>
              <w:right w:type="dxa" w:w="120"/>
            </w:tcMar>
          </w:tcPr>
          <w:p>
            <w:pPr>
              <w:jc w:val="center"/>
            </w:pPr>
            <w:r>
              <w:rPr>
                <w:b/>
                <w:bCs/>
                <w:color w:val="2B5F82"/>
              </w:rPr>
              <w:t xml:space="preserve">28</w:t>
            </w:r>
          </w:p>
        </w:tc>
        <w:tc>
          <w:tcPr>
            <w:tcW w:type="dxa" w:w="8100"/>
            <w:tcMar>
              <w:top w:type="dxa" w:w="100"/>
              <w:left w:type="dxa" w:w="160"/>
              <w:bottom w:type="dxa" w:w="100"/>
              <w:right w:type="dxa" w:w="120"/>
            </w:tcMar>
          </w:tcPr>
          <w:p>
            <w:r>
              <w:t xml:space="preserve">El tesoro, los precios, las cosechas y los mercados</w:t>
            </w:r>
          </w:p>
        </w:tc>
      </w:tr>
      <w:tr>
        <w:tc>
          <w:tcPr>
            <w:tcW w:type="dxa" w:w="900"/>
            <w:shd w:fill="EAF1F6" w:val="clear"/>
            <w:tcMar>
              <w:top w:type="dxa" w:w="100"/>
              <w:left w:type="dxa" w:w="120"/>
              <w:bottom w:type="dxa" w:w="100"/>
              <w:right w:type="dxa" w:w="120"/>
            </w:tcMar>
          </w:tcPr>
          <w:p>
            <w:pPr>
              <w:jc w:val="center"/>
            </w:pPr>
            <w:r>
              <w:rPr>
                <w:b/>
                <w:bCs/>
                <w:color w:val="2B5F82"/>
              </w:rPr>
              <w:t xml:space="preserve">29</w:t>
            </w:r>
          </w:p>
        </w:tc>
        <w:tc>
          <w:tcPr>
            <w:tcW w:type="dxa" w:w="8100"/>
            <w:tcMar>
              <w:top w:type="dxa" w:w="100"/>
              <w:left w:type="dxa" w:w="160"/>
              <w:bottom w:type="dxa" w:w="100"/>
              <w:right w:type="dxa" w:w="120"/>
            </w:tcMar>
          </w:tcPr>
          <w:p>
            <w:r>
              <w:t xml:space="preserve">La enfermedad, la peste y la mortalidad</w:t>
            </w:r>
          </w:p>
        </w:tc>
      </w:tr>
      <w:tr>
        <w:tc>
          <w:tcPr>
            <w:tcW w:type="dxa" w:w="900"/>
            <w:shd w:fill="EAF1F6" w:val="clear"/>
            <w:tcMar>
              <w:top w:type="dxa" w:w="100"/>
              <w:left w:type="dxa" w:w="120"/>
              <w:bottom w:type="dxa" w:w="100"/>
              <w:right w:type="dxa" w:w="120"/>
            </w:tcMar>
          </w:tcPr>
          <w:p>
            <w:pPr>
              <w:jc w:val="center"/>
            </w:pPr>
            <w:r>
              <w:rPr>
                <w:b/>
                <w:bCs/>
                <w:color w:val="2B5F82"/>
              </w:rPr>
              <w:t xml:space="preserve">30</w:t>
            </w:r>
          </w:p>
        </w:tc>
        <w:tc>
          <w:tcPr>
            <w:tcW w:type="dxa" w:w="8100"/>
            <w:tcMar>
              <w:top w:type="dxa" w:w="100"/>
              <w:left w:type="dxa" w:w="160"/>
              <w:bottom w:type="dxa" w:w="100"/>
              <w:right w:type="dxa" w:w="120"/>
            </w:tcMar>
          </w:tcPr>
          <w:p>
            <w:r>
              <w:t xml:space="preserve">La religión, la ley y el saber</w:t>
            </w:r>
          </w:p>
        </w:tc>
      </w:tr>
      <w:tr>
        <w:tc>
          <w:tcPr>
            <w:tcW w:type="dxa" w:w="900"/>
            <w:shd w:fill="EAF1F6" w:val="clear"/>
            <w:tcMar>
              <w:top w:type="dxa" w:w="100"/>
              <w:left w:type="dxa" w:w="120"/>
              <w:bottom w:type="dxa" w:w="100"/>
              <w:right w:type="dxa" w:w="120"/>
            </w:tcMar>
          </w:tcPr>
          <w:p>
            <w:pPr>
              <w:jc w:val="center"/>
            </w:pPr>
            <w:r>
              <w:rPr>
                <w:b/>
                <w:bCs/>
                <w:color w:val="2B5F82"/>
              </w:rPr>
              <w:t xml:space="preserve">31</w:t>
            </w:r>
          </w:p>
        </w:tc>
        <w:tc>
          <w:tcPr>
            <w:tcW w:type="dxa" w:w="8100"/>
            <w:tcMar>
              <w:top w:type="dxa" w:w="100"/>
              <w:left w:type="dxa" w:w="160"/>
              <w:bottom w:type="dxa" w:w="100"/>
              <w:right w:type="dxa" w:w="120"/>
            </w:tcMar>
          </w:tcPr>
          <w:p>
            <w:r>
              <w:t xml:space="preserve">El clima I — los aires, los vientos, las lluvias y la apertura de las puertas</w:t>
            </w:r>
          </w:p>
        </w:tc>
      </w:tr>
      <w:tr>
        <w:tc>
          <w:tcPr>
            <w:tcW w:type="dxa" w:w="900"/>
            <w:shd w:fill="EAF1F6" w:val="clear"/>
            <w:tcMar>
              <w:top w:type="dxa" w:w="100"/>
              <w:left w:type="dxa" w:w="120"/>
              <w:bottom w:type="dxa" w:w="100"/>
              <w:right w:type="dxa" w:w="120"/>
            </w:tcMar>
          </w:tcPr>
          <w:p>
            <w:pPr>
              <w:jc w:val="center"/>
            </w:pPr>
            <w:r>
              <w:rPr>
                <w:b/>
                <w:bCs/>
                <w:color w:val="2B5F82"/>
              </w:rPr>
              <w:t xml:space="preserve">32</w:t>
            </w:r>
          </w:p>
        </w:tc>
        <w:tc>
          <w:tcPr>
            <w:tcW w:type="dxa" w:w="8100"/>
            <w:tcMar>
              <w:top w:type="dxa" w:w="100"/>
              <w:left w:type="dxa" w:w="160"/>
              <w:bottom w:type="dxa" w:w="100"/>
              <w:right w:type="dxa" w:w="120"/>
            </w:tcMar>
          </w:tcPr>
          <w:p>
            <w:r>
              <w:t xml:space="preserve">El clima II — la lluvia, el trueno, las partes del aire y de los días, y la observación común</w:t>
            </w:r>
          </w:p>
        </w:tc>
      </w:tr>
      <w:tr>
        <w:tc>
          <w:tcPr>
            <w:tcW w:type="dxa" w:w="900"/>
            <w:shd w:fill="EAF1F6" w:val="clear"/>
            <w:tcMar>
              <w:top w:type="dxa" w:w="100"/>
              <w:left w:type="dxa" w:w="120"/>
              <w:bottom w:type="dxa" w:w="100"/>
              <w:right w:type="dxa" w:w="120"/>
            </w:tcMar>
          </w:tcPr>
          <w:p>
            <w:pPr>
              <w:jc w:val="center"/>
            </w:pPr>
            <w:r>
              <w:rPr>
                <w:b/>
                <w:bCs/>
                <w:color w:val="2B5F82"/>
              </w:rPr>
              <w:t xml:space="preserve">33</w:t>
            </w:r>
          </w:p>
        </w:tc>
        <w:tc>
          <w:tcPr>
            <w:tcW w:type="dxa" w:w="8100"/>
            <w:tcMar>
              <w:top w:type="dxa" w:w="100"/>
              <w:left w:type="dxa" w:w="160"/>
              <w:bottom w:type="dxa" w:w="100"/>
              <w:right w:type="dxa" w:w="120"/>
            </w:tcMar>
          </w:tcPr>
          <w:p>
            <w:r>
              <w:t xml:space="preserve">Las estrellas fijas, las mansiones y los testimonios de último recurso</w:t>
            </w:r>
          </w:p>
        </w:tc>
      </w:tr>
      <w:tr>
        <w:tc>
          <w:tcPr>
            <w:tcW w:type="dxa" w:w="900"/>
            <w:shd w:fill="EAF1F6" w:val="clear"/>
            <w:tcMar>
              <w:top w:type="dxa" w:w="100"/>
              <w:left w:type="dxa" w:w="120"/>
              <w:bottom w:type="dxa" w:w="100"/>
              <w:right w:type="dxa" w:w="120"/>
            </w:tcMar>
          </w:tcPr>
          <w:p>
            <w:pPr>
              <w:jc w:val="center"/>
            </w:pPr>
            <w:r>
              <w:rPr>
                <w:b/>
                <w:bCs/>
                <w:color w:val="2B5F82"/>
              </w:rPr>
              <w:t xml:space="preserve">34</w:t>
            </w:r>
          </w:p>
        </w:tc>
        <w:tc>
          <w:tcPr>
            <w:tcW w:type="dxa" w:w="8100"/>
            <w:tcMar>
              <w:top w:type="dxa" w:w="100"/>
              <w:left w:type="dxa" w:w="160"/>
              <w:bottom w:type="dxa" w:w="100"/>
              <w:right w:type="dxa" w:w="120"/>
            </w:tcMar>
          </w:tcPr>
          <w:p>
            <w:r>
              <w:t xml:space="preserve">Los climas y la geografía del juicio</w:t>
            </w:r>
          </w:p>
        </w:tc>
      </w:tr>
      <w:tr>
        <w:tc>
          <w:tcPr>
            <w:tcW w:type="dxa" w:w="900"/>
            <w:shd w:fill="EAF1F6" w:val="clear"/>
            <w:tcMar>
              <w:top w:type="dxa" w:w="100"/>
              <w:left w:type="dxa" w:w="120"/>
              <w:bottom w:type="dxa" w:w="100"/>
              <w:right w:type="dxa" w:w="120"/>
            </w:tcMar>
          </w:tcPr>
          <w:p>
            <w:pPr>
              <w:jc w:val="center"/>
            </w:pPr>
            <w:r>
              <w:rPr>
                <w:b/>
                <w:bCs/>
                <w:color w:val="2B5F82"/>
              </w:rPr>
              <w:t xml:space="preserve">35</w:t>
            </w:r>
          </w:p>
        </w:tc>
        <w:tc>
          <w:tcPr>
            <w:tcW w:type="dxa" w:w="8100"/>
            <w:tcMar>
              <w:top w:type="dxa" w:w="100"/>
              <w:left w:type="dxa" w:w="160"/>
              <w:bottom w:type="dxa" w:w="100"/>
              <w:right w:type="dxa" w:w="120"/>
            </w:tcMar>
          </w:tcPr>
          <w:p>
            <w:r>
              <w:t xml:space="preserve">La jerarquía del testimonio</w:t>
            </w:r>
          </w:p>
        </w:tc>
      </w:tr>
      <w:tr>
        <w:tc>
          <w:tcPr>
            <w:tcW w:type="dxa" w:w="900"/>
            <w:shd w:fill="EAF1F6" w:val="clear"/>
            <w:tcMar>
              <w:top w:type="dxa" w:w="100"/>
              <w:left w:type="dxa" w:w="120"/>
              <w:bottom w:type="dxa" w:w="100"/>
              <w:right w:type="dxa" w:w="120"/>
            </w:tcMar>
          </w:tcPr>
          <w:p>
            <w:pPr>
              <w:jc w:val="center"/>
            </w:pPr>
            <w:r>
              <w:rPr>
                <w:b/>
                <w:bCs/>
                <w:color w:val="2B5F82"/>
              </w:rPr>
              <w:t xml:space="preserve">36</w:t>
            </w:r>
          </w:p>
        </w:tc>
        <w:tc>
          <w:tcPr>
            <w:tcW w:type="dxa" w:w="8100"/>
            <w:tcMar>
              <w:top w:type="dxa" w:w="100"/>
              <w:left w:type="dxa" w:w="160"/>
              <w:bottom w:type="dxa" w:w="100"/>
              <w:right w:type="dxa" w:w="120"/>
            </w:tcMar>
          </w:tcPr>
          <w:p>
            <w:r>
              <w:t xml:space="preserve">Los casos difíciles</w:t>
            </w:r>
          </w:p>
        </w:tc>
      </w:tr>
      <w:tr>
        <w:tc>
          <w:tcPr>
            <w:tcW w:type="dxa" w:w="900"/>
            <w:shd w:fill="EAF1F6" w:val="clear"/>
            <w:tcMar>
              <w:top w:type="dxa" w:w="100"/>
              <w:left w:type="dxa" w:w="120"/>
              <w:bottom w:type="dxa" w:w="100"/>
              <w:right w:type="dxa" w:w="120"/>
            </w:tcMar>
          </w:tcPr>
          <w:p>
            <w:pPr>
              <w:jc w:val="center"/>
            </w:pPr>
            <w:r>
              <w:rPr>
                <w:b/>
                <w:bCs/>
                <w:color w:val="2B5F82"/>
              </w:rPr>
              <w:t xml:space="preserve">37</w:t>
            </w:r>
          </w:p>
        </w:tc>
        <w:tc>
          <w:tcPr>
            <w:tcW w:type="dxa" w:w="8100"/>
            <w:tcMar>
              <w:top w:type="dxa" w:w="100"/>
              <w:left w:type="dxa" w:w="160"/>
              <w:bottom w:type="dxa" w:w="100"/>
              <w:right w:type="dxa" w:w="120"/>
            </w:tcMar>
          </w:tcPr>
          <w:p>
            <w:r>
              <w:t xml:space="preserve">El juicio completo resuelto</w:t>
            </w:r>
          </w:p>
        </w:tc>
      </w:tr>
      <w:tr>
        <w:tc>
          <w:tcPr>
            <w:tcW w:type="dxa" w:w="900"/>
            <w:shd w:fill="EAF1F6" w:val="clear"/>
            <w:tcMar>
              <w:top w:type="dxa" w:w="100"/>
              <w:left w:type="dxa" w:w="120"/>
              <w:bottom w:type="dxa" w:w="100"/>
              <w:right w:type="dxa" w:w="120"/>
            </w:tcMar>
          </w:tcPr>
          <w:p>
            <w:pPr>
              <w:jc w:val="center"/>
            </w:pPr>
            <w:r>
              <w:rPr>
                <w:b/>
                <w:bCs/>
                <w:color w:val="2B5F82"/>
              </w:rPr>
              <w:t xml:space="preserve">38</w:t>
            </w:r>
          </w:p>
        </w:tc>
        <w:tc>
          <w:tcPr>
            <w:tcW w:type="dxa" w:w="8100"/>
            <w:tcMar>
              <w:top w:type="dxa" w:w="100"/>
              <w:left w:type="dxa" w:w="160"/>
              <w:bottom w:type="dxa" w:w="100"/>
              <w:right w:type="dxa" w:w="120"/>
            </w:tcMar>
          </w:tcPr>
          <w:p>
            <w:r>
              <w:t xml:space="preserve">Cuando las autoridades discrepan — la hoja de declaración</w:t>
            </w:r>
          </w:p>
        </w:tc>
      </w:tr>
      <w:tr>
        <w:tc>
          <w:tcPr>
            <w:tcW w:type="dxa" w:w="900"/>
            <w:shd w:fill="EAF1F6" w:val="clear"/>
            <w:tcMar>
              <w:top w:type="dxa" w:w="100"/>
              <w:left w:type="dxa" w:w="120"/>
              <w:bottom w:type="dxa" w:w="100"/>
              <w:right w:type="dxa" w:w="120"/>
            </w:tcMar>
          </w:tcPr>
          <w:p>
            <w:pPr>
              <w:jc w:val="center"/>
            </w:pPr>
            <w:r>
              <w:rPr>
                <w:b/>
                <w:bCs/>
                <w:color w:val="2B5F82"/>
              </w:rPr>
              <w:t xml:space="preserve">39</w:t>
            </w:r>
          </w:p>
        </w:tc>
        <w:tc>
          <w:tcPr>
            <w:tcW w:type="dxa" w:w="8100"/>
            <w:tcMar>
              <w:top w:type="dxa" w:w="100"/>
              <w:left w:type="dxa" w:w="160"/>
              <w:bottom w:type="dxa" w:w="100"/>
              <w:right w:type="dxa" w:w="120"/>
            </w:tcMar>
          </w:tcPr>
          <w:p>
            <w:r>
              <w:t xml:space="preserve">El practicum</w:t>
            </w:r>
          </w:p>
        </w:tc>
      </w:tr>
      <w:tr>
        <w:tc>
          <w:tcPr>
            <w:tcW w:type="dxa" w:w="900"/>
            <w:shd w:fill="EAF1F6" w:val="clear"/>
            <w:tcMar>
              <w:top w:type="dxa" w:w="100"/>
              <w:left w:type="dxa" w:w="120"/>
              <w:bottom w:type="dxa" w:w="100"/>
              <w:right w:type="dxa" w:w="120"/>
            </w:tcMar>
          </w:tcPr>
          <w:p>
            <w:pPr>
              <w:jc w:val="center"/>
            </w:pPr>
            <w:r>
              <w:rPr>
                <w:b/>
                <w:bCs/>
                <w:color w:val="2B5F82"/>
              </w:rPr>
              <w:t xml:space="preserve">40</w:t>
            </w:r>
          </w:p>
        </w:tc>
        <w:tc>
          <w:tcPr>
            <w:tcW w:type="dxa" w:w="8100"/>
            <w:tcMar>
              <w:top w:type="dxa" w:w="100"/>
              <w:left w:type="dxa" w:w="160"/>
              <w:bottom w:type="dxa" w:w="100"/>
              <w:right w:type="dxa" w:w="120"/>
            </w:tcMar>
          </w:tcPr>
          <w:p>
            <w:r>
              <w:t xml:space="preserve">Capstone — anatomía de un pronóstico publicado</w:t>
            </w:r>
          </w:p>
        </w:tc>
      </w:tr>
    </w:tbl>
    <w:p/>
    <w:sectPr>
      <w:headerReference w:type="default" r:id="rId7"/>
      <w:footerReference w:type="default" r:id="rId8"/>
      <w:pgSz w:w="12240" w:h="15840" w:orient="portrait"/>
      <w:pgMar w:top="1008" w:right="1123" w:bottom="1008" w:left="112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C6770"/>
        <w:sz w:val="18"/>
        <w:szCs w:val="18"/>
      </w:rPr>
      <w:t xml:space="preserve">Página </w:t>
    </w:r>
    <w:r>
      <w:rPr>
        <w:color w:val="5C677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D4DC" w:sz="4"/>
      </w:pBdr>
      <w:jc w:val="right"/>
    </w:pPr>
    <w:r>
      <w:rPr>
        <w:color w:val="5C6770"/>
        <w:sz w:val="16"/>
        <w:szCs w:val="16"/>
      </w:rPr>
      <w:t xml:space="preserve">Curso Completo de Astrología Mundial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2026-09-09T12:57:10.008Z</dcterms:created>
  <dcterms:modified xsi:type="dcterms:W3CDTF">2026-09-09T12:57:10.018Z</dcterms:modified>
</cp:coreProperties>
</file>

<file path=docProps/custom.xml><?xml version="1.0" encoding="utf-8"?>
<Properties xmlns="http://schemas.openxmlformats.org/officeDocument/2006/custom-properties" xmlns:vt="http://schemas.openxmlformats.org/officeDocument/2006/docPropsVTypes"/>
</file>