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500"/>
        <w:jc w:val="center"/>
      </w:pPr>
      <w:r>
        <w:rPr>
          <w:b/>
          <w:bCs/>
          <w:color w:val="A67026"/>
          <w:sz w:val="24"/>
          <w:szCs w:val="24"/>
        </w:rPr>
        <w:t xml:space="preserve">AETA</w:t>
      </w:r>
    </w:p>
    <w:p>
      <w:pPr>
        <w:spacing w:after="120"/>
        <w:jc w:val="center"/>
      </w:pPr>
      <w:r>
        <w:rPr>
          <w:b/>
          <w:bCs/>
          <w:color w:val="1C314A"/>
          <w:sz w:val="40"/>
          <w:szCs w:val="40"/>
        </w:rPr>
        <w:t xml:space="preserve">TRADITIONAL ASTROMETEOROLOGY</w:t>
      </w:r>
    </w:p>
    <w:p>
      <w:pPr>
        <w:spacing w:after="200"/>
        <w:jc w:val="center"/>
      </w:pPr>
      <w:r>
        <w:rPr>
          <w:b/>
          <w:bCs/>
          <w:color w:val="2B5F82"/>
          <w:sz w:val="26"/>
          <w:szCs w:val="26"/>
        </w:rPr>
        <w:t xml:space="preserve">Course Syllabus · Courses 1–4</w:t>
      </w:r>
    </w:p>
    <w:p>
      <w:pPr>
        <w:spacing w:after="500"/>
        <w:jc w:val="center"/>
      </w:pPr>
      <w:r>
        <w:rPr>
          <w:color w:val="5C6770"/>
          <w:sz w:val="20"/>
          <w:szCs w:val="20"/>
        </w:rPr>
        <w:t xml:space="preserve">English edition · David Hernández · AETA</w:t>
      </w:r>
    </w:p>
    <w:p>
      <w:pPr>
        <w:pStyle w:val="Heading1"/>
        <w:spacing w:after="200" w:before="300"/>
      </w:pPr>
      <w:r>
        <w:rPr>
          <w:color w:val="1C314A"/>
        </w:rPr>
        <w:t xml:space="preserve">Why I teach this</w:t>
      </w:r>
    </w:p>
    <w:p>
      <w:pPr>
        <w:spacing w:after="200"/>
        <w:jc w:val="both"/>
      </w:pPr>
      <w:r>
        <w:rPr>
          <w:sz w:val="22"/>
          <w:szCs w:val="22"/>
        </w:rPr>
        <w:t xml:space="preserve">At first I was a skeptic. I did not believe in astrology. But my wife visited an astrologer and told me about her experience. That sparked my curiosity, and I eventually turned to a lawyer in Washington, D.C. who was also an astrologer, Chris Warnock; to my surprise, he got me genuinely interested in the subject. The question that stayed with me was always the same: how can I validate that this actually works?</w:t>
      </w:r>
    </w:p>
    <w:p>
      <w:pPr>
        <w:spacing w:after="200"/>
        <w:jc w:val="both"/>
      </w:pPr>
      <w:r>
        <w:rPr>
          <w:sz w:val="22"/>
          <w:szCs w:val="22"/>
        </w:rPr>
        <w:t xml:space="preserve">Not long after, I came across a remarkable woman, Carolyn Egan, who taught astrometeorology. Living in the Caribbean — the corridor of hurricanes and tropical storms — I thought that here, if anywhere, the discipline would have to prove itself with nowhere to hide: it would either work, or it would fail in plain view. That was thirty years ago. Here I am today.</w:t>
      </w:r>
    </w:p>
    <w:p>
      <w:pPr>
        <w:pStyle w:val="Heading1"/>
        <w:spacing w:after="200" w:before="300"/>
      </w:pPr>
      <w:r>
        <w:rPr>
          <w:color w:val="1C314A"/>
        </w:rPr>
        <w:t xml:space="preserve">Why this moment matters</w:t>
      </w:r>
    </w:p>
    <w:p>
      <w:pPr>
        <w:spacing w:after="200"/>
        <w:jc w:val="both"/>
      </w:pPr>
      <w:r>
        <w:rPr>
          <w:sz w:val="22"/>
          <w:szCs w:val="22"/>
        </w:rPr>
        <w:t xml:space="preserve">Astrometeorology could not arrive at a better moment. In recent years, political changes have called into question the reliability of official weather-advisory systems. In 2025 alone, the U.S. administration cut roughly 600 positions from the National Weather Service (NWS) — through buyouts and the dismissal of probationary staff — and proposed cutting NOAA's (National Oceanic and Atmospheric Administration) overall budget by roughly 25–28% for fiscal year 2026, including the elimination of its climate research division, the Office of Oceanic and Atmospheric Research (OAR). Congress, with bipartisan support, has pushed back against much of the proposed cuts to the National Weather Service itself, but the budget fight continues, and staffing vacancies in regional offices — including some covering flash-flood-prone areas — have already been publicly flagged as a concern by lawmakers and emergency managers.</w:t>
      </w:r>
    </w:p>
    <w:p>
      <w:pPr>
        <w:spacing w:after="200"/>
        <w:jc w:val="both"/>
      </w:pPr>
      <w:r>
        <w:rPr>
          <w:sz w:val="22"/>
          <w:szCs w:val="22"/>
        </w:rPr>
        <w:t xml:space="preserve">Add to this a changing climate, which is increasing the frequency and intensity of extreme weather — stronger hurricanes, longer droughts, more sudden flooding — at precisely the moment institutional capacity to monitor and warn against them is being questioned. Against that backdrop, becoming an astrometeorologist — able to read, independently and verifiably, the same signs the ancients used to anticipate the weather — could not come at a better time. If you have ever wanted to test the validity of these techniques for yourself, this is your course.</w:t>
      </w:r>
    </w:p>
    <w:p>
      <w:pPr>
        <w:pStyle w:val="Heading1"/>
        <w:spacing w:after="200" w:before="300"/>
      </w:pPr>
      <w:r>
        <w:rPr>
          <w:color w:val="1C314A"/>
        </w:rPr>
        <w:t xml:space="preserve">Using ancient techniques</w:t>
      </w:r>
    </w:p>
    <w:p>
      <w:pPr>
        <w:spacing w:after="200"/>
        <w:jc w:val="both"/>
      </w:pPr>
      <w:r>
        <w:rPr>
          <w:sz w:val="22"/>
          <w:szCs w:val="22"/>
        </w:rPr>
        <w:t xml:space="preserve">This course does not invent a new system — it recovers and organizes the one that already existed. It works directly from the primary sources — Ptolemy, Al-Kindi, Abū Ma'shar, Guido Bonatti, and centrally, Antonio de Nájera's Summa Astrológica (Lisbon, 1632) — alongside later observers such as Tycho Brahe, Johannes Kepler, and William Ramesey, and the author's own earlier compilation, Astrometeorology: A Collection of Traditional Methods of Judging and Forecasting Weather. Every rule is attributed to its source, every technique is put through a verifiable procedure, and every forecast is logged so it can be audited afterward: it is not enough for the doctrine to be old — it has to be provable today.</w:t>
      </w:r>
    </w:p>
    <w:p>
      <w:pPr>
        <w:pageBreakBefore/>
      </w:pPr>
      <w:r>
        <w:br/>
        <w:t xml:space="preserve"/>
      </w:r>
    </w:p>
    <w:p>
      <w:pPr>
        <w:pStyle w:val="Heading1"/>
        <w:spacing w:after="200" w:before="300"/>
      </w:pPr>
      <w:r>
        <w:rPr>
          <w:color w:val="1C314A"/>
        </w:rPr>
        <w:t xml:space="preserve">Course Syllabus</w:t>
      </w:r>
    </w:p>
    <w:p>
      <w:pPr>
        <w:spacing w:after="60" w:before="320"/>
      </w:pPr>
      <w:r>
        <w:rPr>
          <w:b/>
          <w:bCs/>
          <w:color w:val="1C314A"/>
          <w:sz w:val="24"/>
          <w:szCs w:val="24"/>
        </w:rPr>
        <w:t xml:space="preserve">Course 1 — Foundations, Celestial Qualities, and the Order of Meteorological Judgment</w:t>
      </w:r>
    </w:p>
    <w:p>
      <w:pPr>
        <w:spacing w:after="140"/>
      </w:pPr>
      <w:r>
        <w:rPr>
          <w:i/>
          <w:iCs/>
          <w:color w:val="5C6770"/>
          <w:sz w:val="20"/>
          <w:szCs w:val="20"/>
        </w:rPr>
        <w:t xml:space="preserve">Chapters 1–8</w:t>
      </w:r>
    </w:p>
    <w:tbl>
      <w:tblPr>
        <w:tblW w:type="dxa" w:w="9000"/>
        <w:tblBorders>
          <w:top w:val="single" w:color="C9D4DC" w:sz="4"/>
          <w:left w:val="none"/>
          <w:bottom w:val="single" w:color="C9D4DC" w:sz="4"/>
          <w:right w:val="none"/>
          <w:insideH w:val="single" w:color="E2E8ED" w:sz="2"/>
          <w:insideV w:val="none"/>
        </w:tblBorders>
      </w:tblPr>
      <w:tblGrid>
        <w:gridCol w:w="900"/>
        <w:gridCol w:w="8100"/>
      </w:tblGrid>
      <w:tr>
        <w:tc>
          <w:tcPr>
            <w:tcW w:type="dxa" w:w="900"/>
            <w:shd w:fill="EAF1F6" w:val="clear"/>
            <w:tcMar>
              <w:top w:type="dxa" w:w="100"/>
              <w:left w:type="dxa" w:w="120"/>
              <w:bottom w:type="dxa" w:w="100"/>
              <w:right w:type="dxa" w:w="120"/>
            </w:tcMar>
          </w:tcPr>
          <w:p>
            <w:pPr>
              <w:jc w:val="center"/>
            </w:pPr>
            <w:r>
              <w:rPr>
                <w:b/>
                <w:bCs/>
                <w:color w:val="2B5F82"/>
              </w:rPr>
              <w:t xml:space="preserve">1</w:t>
            </w:r>
          </w:p>
        </w:tc>
        <w:tc>
          <w:tcPr>
            <w:tcW w:type="dxa" w:w="8100"/>
            <w:tcMar>
              <w:top w:type="dxa" w:w="100"/>
              <w:left w:type="dxa" w:w="160"/>
              <w:bottom w:type="dxa" w:w="100"/>
              <w:right w:type="dxa" w:w="120"/>
            </w:tcMar>
          </w:tcPr>
          <w:p>
            <w:r>
              <w:t xml:space="preserve">Nature and Purpose of Astrometeorology</w:t>
            </w:r>
          </w:p>
        </w:tc>
      </w:tr>
      <w:tr>
        <w:tc>
          <w:tcPr>
            <w:tcW w:type="dxa" w:w="900"/>
            <w:shd w:fill="EAF1F6" w:val="clear"/>
            <w:tcMar>
              <w:top w:type="dxa" w:w="100"/>
              <w:left w:type="dxa" w:w="120"/>
              <w:bottom w:type="dxa" w:w="100"/>
              <w:right w:type="dxa" w:w="120"/>
            </w:tcMar>
          </w:tcPr>
          <w:p>
            <w:pPr>
              <w:jc w:val="center"/>
            </w:pPr>
            <w:r>
              <w:rPr>
                <w:b/>
                <w:bCs/>
                <w:color w:val="2B5F82"/>
              </w:rPr>
              <w:t xml:space="preserve">2</w:t>
            </w:r>
          </w:p>
        </w:tc>
        <w:tc>
          <w:tcPr>
            <w:tcW w:type="dxa" w:w="8100"/>
            <w:tcMar>
              <w:top w:type="dxa" w:w="100"/>
              <w:left w:type="dxa" w:w="160"/>
              <w:bottom w:type="dxa" w:w="100"/>
              <w:right w:type="dxa" w:w="120"/>
            </w:tcMar>
          </w:tcPr>
          <w:p>
            <w:r>
              <w:t xml:space="preserve">The Four Qualities, the Elements, the Seasons, and the Angles</w:t>
            </w:r>
          </w:p>
        </w:tc>
      </w:tr>
      <w:tr>
        <w:tc>
          <w:tcPr>
            <w:tcW w:type="dxa" w:w="900"/>
            <w:shd w:fill="EAF1F6" w:val="clear"/>
            <w:tcMar>
              <w:top w:type="dxa" w:w="100"/>
              <w:left w:type="dxa" w:w="120"/>
              <w:bottom w:type="dxa" w:w="100"/>
              <w:right w:type="dxa" w:w="120"/>
            </w:tcMar>
          </w:tcPr>
          <w:p>
            <w:pPr>
              <w:jc w:val="center"/>
            </w:pPr>
            <w:r>
              <w:rPr>
                <w:b/>
                <w:bCs/>
                <w:color w:val="2B5F82"/>
              </w:rPr>
              <w:t xml:space="preserve">3</w:t>
            </w:r>
          </w:p>
        </w:tc>
        <w:tc>
          <w:tcPr>
            <w:tcW w:type="dxa" w:w="8100"/>
            <w:tcMar>
              <w:top w:type="dxa" w:w="100"/>
              <w:left w:type="dxa" w:w="160"/>
              <w:bottom w:type="dxa" w:w="100"/>
              <w:right w:type="dxa" w:w="120"/>
            </w:tcMar>
          </w:tcPr>
          <w:p>
            <w:r>
              <w:t xml:space="preserve">The Fifteen Foundations of Meteorological Judgment</w:t>
            </w:r>
          </w:p>
        </w:tc>
      </w:tr>
      <w:tr>
        <w:tc>
          <w:tcPr>
            <w:tcW w:type="dxa" w:w="900"/>
            <w:shd w:fill="EAF1F6" w:val="clear"/>
            <w:tcMar>
              <w:top w:type="dxa" w:w="100"/>
              <w:left w:type="dxa" w:w="120"/>
              <w:bottom w:type="dxa" w:w="100"/>
              <w:right w:type="dxa" w:w="120"/>
            </w:tcMar>
          </w:tcPr>
          <w:p>
            <w:pPr>
              <w:jc w:val="center"/>
            </w:pPr>
            <w:r>
              <w:rPr>
                <w:b/>
                <w:bCs/>
                <w:color w:val="2B5F82"/>
              </w:rPr>
              <w:t xml:space="preserve">4</w:t>
            </w:r>
          </w:p>
        </w:tc>
        <w:tc>
          <w:tcPr>
            <w:tcW w:type="dxa" w:w="8100"/>
            <w:tcMar>
              <w:top w:type="dxa" w:w="100"/>
              <w:left w:type="dxa" w:w="160"/>
              <w:bottom w:type="dxa" w:w="100"/>
              <w:right w:type="dxa" w:w="120"/>
            </w:tcMar>
          </w:tcPr>
          <w:p>
            <w:r>
              <w:t xml:space="preserve">The Zodiacal Signs and the Seven Traditional Planets</w:t>
            </w:r>
          </w:p>
        </w:tc>
      </w:tr>
      <w:tr>
        <w:tc>
          <w:tcPr>
            <w:tcW w:type="dxa" w:w="900"/>
            <w:shd w:fill="EAF1F6" w:val="clear"/>
            <w:tcMar>
              <w:top w:type="dxa" w:w="100"/>
              <w:left w:type="dxa" w:w="120"/>
              <w:bottom w:type="dxa" w:w="100"/>
              <w:right w:type="dxa" w:w="120"/>
            </w:tcMar>
          </w:tcPr>
          <w:p>
            <w:pPr>
              <w:jc w:val="center"/>
            </w:pPr>
            <w:r>
              <w:rPr>
                <w:b/>
                <w:bCs/>
                <w:color w:val="2B5F82"/>
              </w:rPr>
              <w:t xml:space="preserve">5</w:t>
            </w:r>
          </w:p>
        </w:tc>
        <w:tc>
          <w:tcPr>
            <w:tcW w:type="dxa" w:w="8100"/>
            <w:tcMar>
              <w:top w:type="dxa" w:w="100"/>
              <w:left w:type="dxa" w:w="160"/>
              <w:bottom w:type="dxa" w:w="100"/>
              <w:right w:type="dxa" w:w="120"/>
            </w:tcMar>
          </w:tcPr>
          <w:p>
            <w:r>
              <w:t xml:space="preserve">The Moon, the Lunar Phases, and the Mansions</w:t>
            </w:r>
          </w:p>
        </w:tc>
      </w:tr>
      <w:tr>
        <w:tc>
          <w:tcPr>
            <w:tcW w:type="dxa" w:w="900"/>
            <w:shd w:fill="EAF1F6" w:val="clear"/>
            <w:tcMar>
              <w:top w:type="dxa" w:w="100"/>
              <w:left w:type="dxa" w:w="120"/>
              <w:bottom w:type="dxa" w:w="100"/>
              <w:right w:type="dxa" w:w="120"/>
            </w:tcMar>
          </w:tcPr>
          <w:p>
            <w:pPr>
              <w:jc w:val="center"/>
            </w:pPr>
            <w:r>
              <w:rPr>
                <w:b/>
                <w:bCs/>
                <w:color w:val="2B5F82"/>
              </w:rPr>
              <w:t xml:space="preserve">6</w:t>
            </w:r>
          </w:p>
        </w:tc>
        <w:tc>
          <w:tcPr>
            <w:tcW w:type="dxa" w:w="8100"/>
            <w:tcMar>
              <w:top w:type="dxa" w:w="100"/>
              <w:left w:type="dxa" w:w="160"/>
              <w:bottom w:type="dxa" w:w="100"/>
              <w:right w:type="dxa" w:w="120"/>
            </w:tcMar>
          </w:tcPr>
          <w:p>
            <w:r>
              <w:t xml:space="preserve">Conjunctions, Aspects, and Atmospheric Alterations</w:t>
            </w:r>
          </w:p>
        </w:tc>
      </w:tr>
      <w:tr>
        <w:tc>
          <w:tcPr>
            <w:tcW w:type="dxa" w:w="900"/>
            <w:shd w:fill="EAF1F6" w:val="clear"/>
            <w:tcMar>
              <w:top w:type="dxa" w:w="100"/>
              <w:left w:type="dxa" w:w="120"/>
              <w:bottom w:type="dxa" w:w="100"/>
              <w:right w:type="dxa" w:w="120"/>
            </w:tcMar>
          </w:tcPr>
          <w:p>
            <w:pPr>
              <w:jc w:val="center"/>
            </w:pPr>
            <w:r>
              <w:rPr>
                <w:b/>
                <w:bCs/>
                <w:color w:val="2B5F82"/>
              </w:rPr>
              <w:t xml:space="preserve">7</w:t>
            </w:r>
          </w:p>
        </w:tc>
        <w:tc>
          <w:tcPr>
            <w:tcW w:type="dxa" w:w="8100"/>
            <w:tcMar>
              <w:top w:type="dxa" w:w="100"/>
              <w:left w:type="dxa" w:w="160"/>
              <w:bottom w:type="dxa" w:w="100"/>
              <w:right w:type="dxa" w:w="120"/>
            </w:tcMar>
          </w:tcPr>
          <w:p>
            <w:r>
              <w:t xml:space="preserve">The Complete Order of Delineation</w:t>
            </w:r>
          </w:p>
        </w:tc>
      </w:tr>
      <w:tr>
        <w:tc>
          <w:tcPr>
            <w:tcW w:type="dxa" w:w="900"/>
            <w:shd w:fill="EAF1F6" w:val="clear"/>
            <w:tcMar>
              <w:top w:type="dxa" w:w="100"/>
              <w:left w:type="dxa" w:w="120"/>
              <w:bottom w:type="dxa" w:w="100"/>
              <w:right w:type="dxa" w:w="120"/>
            </w:tcMar>
          </w:tcPr>
          <w:p>
            <w:pPr>
              <w:jc w:val="center"/>
            </w:pPr>
            <w:r>
              <w:rPr>
                <w:b/>
                <w:bCs/>
                <w:color w:val="2B5F82"/>
              </w:rPr>
              <w:t xml:space="preserve">8</w:t>
            </w:r>
          </w:p>
        </w:tc>
        <w:tc>
          <w:tcPr>
            <w:tcW w:type="dxa" w:w="8100"/>
            <w:tcMar>
              <w:top w:type="dxa" w:w="100"/>
              <w:left w:type="dxa" w:w="160"/>
              <w:bottom w:type="dxa" w:w="100"/>
              <w:right w:type="dxa" w:w="120"/>
            </w:tcMar>
          </w:tcPr>
          <w:p>
            <w:r>
              <w:t xml:space="preserve">Final Project and Forecast Forms</w:t>
            </w:r>
          </w:p>
        </w:tc>
      </w:tr>
    </w:tbl>
    <w:p/>
    <w:p>
      <w:pPr>
        <w:spacing w:after="60" w:before="320"/>
      </w:pPr>
      <w:r>
        <w:rPr>
          <w:b/>
          <w:bCs/>
          <w:color w:val="1C314A"/>
          <w:sz w:val="24"/>
          <w:szCs w:val="24"/>
        </w:rPr>
        <w:t xml:space="preserve">Course 2 — Applied Judgment, Lunar Mansions, Severe Weather, and Complete Forecasting</w:t>
      </w:r>
    </w:p>
    <w:p>
      <w:pPr>
        <w:spacing w:after="140"/>
      </w:pPr>
      <w:r>
        <w:rPr>
          <w:i/>
          <w:iCs/>
          <w:color w:val="5C6770"/>
          <w:sz w:val="20"/>
          <w:szCs w:val="20"/>
        </w:rPr>
        <w:t xml:space="preserve">Chapters 9–16</w:t>
      </w:r>
    </w:p>
    <w:tbl>
      <w:tblPr>
        <w:tblW w:type="dxa" w:w="9000"/>
        <w:tblBorders>
          <w:top w:val="single" w:color="C9D4DC" w:sz="4"/>
          <w:left w:val="none"/>
          <w:bottom w:val="single" w:color="C9D4DC" w:sz="4"/>
          <w:right w:val="none"/>
          <w:insideH w:val="single" w:color="E2E8ED" w:sz="2"/>
          <w:insideV w:val="none"/>
        </w:tblBorders>
      </w:tblPr>
      <w:tblGrid>
        <w:gridCol w:w="900"/>
        <w:gridCol w:w="8100"/>
      </w:tblGrid>
      <w:tr>
        <w:tc>
          <w:tcPr>
            <w:tcW w:type="dxa" w:w="900"/>
            <w:shd w:fill="EAF1F6" w:val="clear"/>
            <w:tcMar>
              <w:top w:type="dxa" w:w="100"/>
              <w:left w:type="dxa" w:w="120"/>
              <w:bottom w:type="dxa" w:w="100"/>
              <w:right w:type="dxa" w:w="120"/>
            </w:tcMar>
          </w:tcPr>
          <w:p>
            <w:pPr>
              <w:jc w:val="center"/>
            </w:pPr>
            <w:r>
              <w:rPr>
                <w:b/>
                <w:bCs/>
                <w:color w:val="2B5F82"/>
              </w:rPr>
              <w:t xml:space="preserve">9</w:t>
            </w:r>
          </w:p>
        </w:tc>
        <w:tc>
          <w:tcPr>
            <w:tcW w:type="dxa" w:w="8100"/>
            <w:tcMar>
              <w:top w:type="dxa" w:w="100"/>
              <w:left w:type="dxa" w:w="160"/>
              <w:bottom w:type="dxa" w:w="100"/>
              <w:right w:type="dxa" w:w="120"/>
            </w:tcMar>
          </w:tcPr>
          <w:p>
            <w:r>
              <w:t xml:space="preserve">The Moon as Transmitter and Timekeeper</w:t>
            </w:r>
          </w:p>
        </w:tc>
      </w:tr>
      <w:tr>
        <w:tc>
          <w:tcPr>
            <w:tcW w:type="dxa" w:w="900"/>
            <w:shd w:fill="EAF1F6" w:val="clear"/>
            <w:tcMar>
              <w:top w:type="dxa" w:w="100"/>
              <w:left w:type="dxa" w:w="120"/>
              <w:bottom w:type="dxa" w:w="100"/>
              <w:right w:type="dxa" w:w="120"/>
            </w:tcMar>
          </w:tcPr>
          <w:p>
            <w:pPr>
              <w:jc w:val="center"/>
            </w:pPr>
            <w:r>
              <w:rPr>
                <w:b/>
                <w:bCs/>
                <w:color w:val="2B5F82"/>
              </w:rPr>
              <w:t xml:space="preserve">10</w:t>
            </w:r>
          </w:p>
        </w:tc>
        <w:tc>
          <w:tcPr>
            <w:tcW w:type="dxa" w:w="8100"/>
            <w:tcMar>
              <w:top w:type="dxa" w:w="100"/>
              <w:left w:type="dxa" w:w="160"/>
              <w:bottom w:type="dxa" w:w="100"/>
              <w:right w:type="dxa" w:w="120"/>
            </w:tcMar>
          </w:tcPr>
          <w:p>
            <w:r>
              <w:t xml:space="preserve">The Twenty-Eight Lunar Mansions</w:t>
            </w:r>
          </w:p>
        </w:tc>
      </w:tr>
      <w:tr>
        <w:tc>
          <w:tcPr>
            <w:tcW w:type="dxa" w:w="900"/>
            <w:shd w:fill="EAF1F6" w:val="clear"/>
            <w:tcMar>
              <w:top w:type="dxa" w:w="100"/>
              <w:left w:type="dxa" w:w="120"/>
              <w:bottom w:type="dxa" w:w="100"/>
              <w:right w:type="dxa" w:w="120"/>
            </w:tcMar>
          </w:tcPr>
          <w:p>
            <w:pPr>
              <w:jc w:val="center"/>
            </w:pPr>
            <w:r>
              <w:rPr>
                <w:b/>
                <w:bCs/>
                <w:color w:val="2B5F82"/>
              </w:rPr>
              <w:t xml:space="preserve">11</w:t>
            </w:r>
          </w:p>
        </w:tc>
        <w:tc>
          <w:tcPr>
            <w:tcW w:type="dxa" w:w="8100"/>
            <w:tcMar>
              <w:top w:type="dxa" w:w="100"/>
              <w:left w:type="dxa" w:w="160"/>
              <w:bottom w:type="dxa" w:w="100"/>
              <w:right w:type="dxa" w:w="120"/>
            </w:tcMar>
          </w:tcPr>
          <w:p>
            <w:r>
              <w:t xml:space="preserve">Planetary Aspects and Atmospheric Combinations</w:t>
            </w:r>
          </w:p>
        </w:tc>
      </w:tr>
      <w:tr>
        <w:tc>
          <w:tcPr>
            <w:tcW w:type="dxa" w:w="900"/>
            <w:shd w:fill="EAF1F6" w:val="clear"/>
            <w:tcMar>
              <w:top w:type="dxa" w:w="100"/>
              <w:left w:type="dxa" w:w="120"/>
              <w:bottom w:type="dxa" w:w="100"/>
              <w:right w:type="dxa" w:w="120"/>
            </w:tcMar>
          </w:tcPr>
          <w:p>
            <w:pPr>
              <w:jc w:val="center"/>
            </w:pPr>
            <w:r>
              <w:rPr>
                <w:b/>
                <w:bCs/>
                <w:color w:val="2B5F82"/>
              </w:rPr>
              <w:t xml:space="preserve">12</w:t>
            </w:r>
          </w:p>
        </w:tc>
        <w:tc>
          <w:tcPr>
            <w:tcW w:type="dxa" w:w="8100"/>
            <w:tcMar>
              <w:top w:type="dxa" w:w="100"/>
              <w:left w:type="dxa" w:w="160"/>
              <w:bottom w:type="dxa" w:w="100"/>
              <w:right w:type="dxa" w:w="120"/>
            </w:tcMar>
          </w:tcPr>
          <w:p>
            <w:r>
              <w:t xml:space="preserve">Rain, Wind, Storms, Thunder, Snow, Drought, and Fog</w:t>
            </w:r>
          </w:p>
        </w:tc>
      </w:tr>
      <w:tr>
        <w:tc>
          <w:tcPr>
            <w:tcW w:type="dxa" w:w="900"/>
            <w:shd w:fill="EAF1F6" w:val="clear"/>
            <w:tcMar>
              <w:top w:type="dxa" w:w="100"/>
              <w:left w:type="dxa" w:w="120"/>
              <w:bottom w:type="dxa" w:w="100"/>
              <w:right w:type="dxa" w:w="120"/>
            </w:tcMar>
          </w:tcPr>
          <w:p>
            <w:pPr>
              <w:jc w:val="center"/>
            </w:pPr>
            <w:r>
              <w:rPr>
                <w:b/>
                <w:bCs/>
                <w:color w:val="2B5F82"/>
              </w:rPr>
              <w:t xml:space="preserve">13</w:t>
            </w:r>
          </w:p>
        </w:tc>
        <w:tc>
          <w:tcPr>
            <w:tcW w:type="dxa" w:w="8100"/>
            <w:tcMar>
              <w:top w:type="dxa" w:w="100"/>
              <w:left w:type="dxa" w:w="160"/>
              <w:bottom w:type="dxa" w:w="100"/>
              <w:right w:type="dxa" w:w="120"/>
            </w:tcMar>
          </w:tcPr>
          <w:p>
            <w:r>
              <w:t xml:space="preserve">Eclipses, Comets, and Extraordinary Signs</w:t>
            </w:r>
          </w:p>
        </w:tc>
      </w:tr>
      <w:tr>
        <w:tc>
          <w:tcPr>
            <w:tcW w:type="dxa" w:w="900"/>
            <w:shd w:fill="EAF1F6" w:val="clear"/>
            <w:tcMar>
              <w:top w:type="dxa" w:w="100"/>
              <w:left w:type="dxa" w:w="120"/>
              <w:bottom w:type="dxa" w:w="100"/>
              <w:right w:type="dxa" w:w="120"/>
            </w:tcMar>
          </w:tcPr>
          <w:p>
            <w:pPr>
              <w:jc w:val="center"/>
            </w:pPr>
            <w:r>
              <w:rPr>
                <w:b/>
                <w:bCs/>
                <w:color w:val="2B5F82"/>
              </w:rPr>
              <w:t xml:space="preserve">14</w:t>
            </w:r>
          </w:p>
        </w:tc>
        <w:tc>
          <w:tcPr>
            <w:tcW w:type="dxa" w:w="8100"/>
            <w:tcMar>
              <w:top w:type="dxa" w:w="100"/>
              <w:left w:type="dxa" w:w="160"/>
              <w:bottom w:type="dxa" w:w="100"/>
              <w:right w:type="dxa" w:w="120"/>
            </w:tcMar>
          </w:tcPr>
          <w:p>
            <w:r>
              <w:t xml:space="preserve">The Complete Order of Meteorological Delineation</w:t>
            </w:r>
          </w:p>
        </w:tc>
      </w:tr>
      <w:tr>
        <w:tc>
          <w:tcPr>
            <w:tcW w:type="dxa" w:w="900"/>
            <w:shd w:fill="EAF1F6" w:val="clear"/>
            <w:tcMar>
              <w:top w:type="dxa" w:w="100"/>
              <w:left w:type="dxa" w:w="120"/>
              <w:bottom w:type="dxa" w:w="100"/>
              <w:right w:type="dxa" w:w="120"/>
            </w:tcMar>
          </w:tcPr>
          <w:p>
            <w:pPr>
              <w:jc w:val="center"/>
            </w:pPr>
            <w:r>
              <w:rPr>
                <w:b/>
                <w:bCs/>
                <w:color w:val="2B5F82"/>
              </w:rPr>
              <w:t xml:space="preserve">15</w:t>
            </w:r>
          </w:p>
        </w:tc>
        <w:tc>
          <w:tcPr>
            <w:tcW w:type="dxa" w:w="8100"/>
            <w:tcMar>
              <w:top w:type="dxa" w:w="100"/>
              <w:left w:type="dxa" w:w="160"/>
              <w:bottom w:type="dxa" w:w="100"/>
              <w:right w:type="dxa" w:w="120"/>
            </w:tcMar>
          </w:tcPr>
          <w:p>
            <w:r>
              <w:t xml:space="preserve">Applied Practice and Case Studies</w:t>
            </w:r>
          </w:p>
        </w:tc>
      </w:tr>
      <w:tr>
        <w:tc>
          <w:tcPr>
            <w:tcW w:type="dxa" w:w="900"/>
            <w:shd w:fill="EAF1F6" w:val="clear"/>
            <w:tcMar>
              <w:top w:type="dxa" w:w="100"/>
              <w:left w:type="dxa" w:w="120"/>
              <w:bottom w:type="dxa" w:w="100"/>
              <w:right w:type="dxa" w:w="120"/>
            </w:tcMar>
          </w:tcPr>
          <w:p>
            <w:pPr>
              <w:jc w:val="center"/>
            </w:pPr>
            <w:r>
              <w:rPr>
                <w:b/>
                <w:bCs/>
                <w:color w:val="2B5F82"/>
              </w:rPr>
              <w:t xml:space="preserve">16</w:t>
            </w:r>
          </w:p>
        </w:tc>
        <w:tc>
          <w:tcPr>
            <w:tcW w:type="dxa" w:w="8100"/>
            <w:tcMar>
              <w:top w:type="dxa" w:w="100"/>
              <w:left w:type="dxa" w:w="160"/>
              <w:bottom w:type="dxa" w:w="100"/>
              <w:right w:type="dxa" w:w="120"/>
            </w:tcMar>
          </w:tcPr>
          <w:p>
            <w:r>
              <w:t xml:space="preserve">Forecast Audit, Examination, and Forms</w:t>
            </w:r>
          </w:p>
        </w:tc>
      </w:tr>
    </w:tbl>
    <w:p/>
    <w:p>
      <w:pPr>
        <w:spacing w:after="60" w:before="320"/>
      </w:pPr>
      <w:r>
        <w:rPr>
          <w:b/>
          <w:bCs/>
          <w:color w:val="1C314A"/>
          <w:sz w:val="24"/>
          <w:szCs w:val="24"/>
        </w:rPr>
        <w:t xml:space="preserve">Course 3 — Forecasting Laboratory, Source Study, and Professional Practice</w:t>
      </w:r>
    </w:p>
    <w:p>
      <w:pPr>
        <w:spacing w:after="140"/>
      </w:pPr>
      <w:r>
        <w:rPr>
          <w:i/>
          <w:iCs/>
          <w:color w:val="5C6770"/>
          <w:sz w:val="20"/>
          <w:szCs w:val="20"/>
        </w:rPr>
        <w:t xml:space="preserve">Chapters 17–24</w:t>
      </w:r>
    </w:p>
    <w:tbl>
      <w:tblPr>
        <w:tblW w:type="dxa" w:w="9000"/>
        <w:tblBorders>
          <w:top w:val="single" w:color="C9D4DC" w:sz="4"/>
          <w:left w:val="none"/>
          <w:bottom w:val="single" w:color="C9D4DC" w:sz="4"/>
          <w:right w:val="none"/>
          <w:insideH w:val="single" w:color="E2E8ED" w:sz="2"/>
          <w:insideV w:val="none"/>
        </w:tblBorders>
      </w:tblPr>
      <w:tblGrid>
        <w:gridCol w:w="900"/>
        <w:gridCol w:w="8100"/>
      </w:tblGrid>
      <w:tr>
        <w:tc>
          <w:tcPr>
            <w:tcW w:type="dxa" w:w="900"/>
            <w:shd w:fill="EAF1F6" w:val="clear"/>
            <w:tcMar>
              <w:top w:type="dxa" w:w="100"/>
              <w:left w:type="dxa" w:w="120"/>
              <w:bottom w:type="dxa" w:w="100"/>
              <w:right w:type="dxa" w:w="120"/>
            </w:tcMar>
          </w:tcPr>
          <w:p>
            <w:pPr>
              <w:jc w:val="center"/>
            </w:pPr>
            <w:r>
              <w:rPr>
                <w:b/>
                <w:bCs/>
                <w:color w:val="2B5F82"/>
              </w:rPr>
              <w:t xml:space="preserve">17</w:t>
            </w:r>
          </w:p>
        </w:tc>
        <w:tc>
          <w:tcPr>
            <w:tcW w:type="dxa" w:w="8100"/>
            <w:tcMar>
              <w:top w:type="dxa" w:w="100"/>
              <w:left w:type="dxa" w:w="160"/>
              <w:bottom w:type="dxa" w:w="100"/>
              <w:right w:type="dxa" w:w="120"/>
            </w:tcMar>
          </w:tcPr>
          <w:p>
            <w:r>
              <w:t xml:space="preserve">The Forecasting Laboratory</w:t>
            </w:r>
          </w:p>
        </w:tc>
      </w:tr>
      <w:tr>
        <w:tc>
          <w:tcPr>
            <w:tcW w:type="dxa" w:w="900"/>
            <w:shd w:fill="EAF1F6" w:val="clear"/>
            <w:tcMar>
              <w:top w:type="dxa" w:w="100"/>
              <w:left w:type="dxa" w:w="120"/>
              <w:bottom w:type="dxa" w:w="100"/>
              <w:right w:type="dxa" w:w="120"/>
            </w:tcMar>
          </w:tcPr>
          <w:p>
            <w:pPr>
              <w:jc w:val="center"/>
            </w:pPr>
            <w:r>
              <w:rPr>
                <w:b/>
                <w:bCs/>
                <w:color w:val="2B5F82"/>
              </w:rPr>
              <w:t xml:space="preserve">18</w:t>
            </w:r>
          </w:p>
        </w:tc>
        <w:tc>
          <w:tcPr>
            <w:tcW w:type="dxa" w:w="8100"/>
            <w:tcMar>
              <w:top w:type="dxa" w:w="100"/>
              <w:left w:type="dxa" w:w="160"/>
              <w:bottom w:type="dxa" w:w="100"/>
              <w:right w:type="dxa" w:w="120"/>
            </w:tcMar>
          </w:tcPr>
          <w:p>
            <w:r>
              <w:t xml:space="preserve">Reading Historical Sources and Extracting Rules</w:t>
            </w:r>
          </w:p>
        </w:tc>
      </w:tr>
      <w:tr>
        <w:tc>
          <w:tcPr>
            <w:tcW w:type="dxa" w:w="900"/>
            <w:shd w:fill="EAF1F6" w:val="clear"/>
            <w:tcMar>
              <w:top w:type="dxa" w:w="100"/>
              <w:left w:type="dxa" w:w="120"/>
              <w:bottom w:type="dxa" w:w="100"/>
              <w:right w:type="dxa" w:w="120"/>
            </w:tcMar>
          </w:tcPr>
          <w:p>
            <w:pPr>
              <w:jc w:val="center"/>
            </w:pPr>
            <w:r>
              <w:rPr>
                <w:b/>
                <w:bCs/>
                <w:color w:val="2B5F82"/>
              </w:rPr>
              <w:t xml:space="preserve">19</w:t>
            </w:r>
          </w:p>
        </w:tc>
        <w:tc>
          <w:tcPr>
            <w:tcW w:type="dxa" w:w="8100"/>
            <w:tcMar>
              <w:top w:type="dxa" w:w="100"/>
              <w:left w:type="dxa" w:w="160"/>
              <w:bottom w:type="dxa" w:w="100"/>
              <w:right w:type="dxa" w:w="120"/>
            </w:tcMar>
          </w:tcPr>
          <w:p>
            <w:r>
              <w:t xml:space="preserve">Local Climate, Geography, and Baseline Conditions</w:t>
            </w:r>
          </w:p>
        </w:tc>
      </w:tr>
      <w:tr>
        <w:tc>
          <w:tcPr>
            <w:tcW w:type="dxa" w:w="900"/>
            <w:shd w:fill="EAF1F6" w:val="clear"/>
            <w:tcMar>
              <w:top w:type="dxa" w:w="100"/>
              <w:left w:type="dxa" w:w="120"/>
              <w:bottom w:type="dxa" w:w="100"/>
              <w:right w:type="dxa" w:w="120"/>
            </w:tcMar>
          </w:tcPr>
          <w:p>
            <w:pPr>
              <w:jc w:val="center"/>
            </w:pPr>
            <w:r>
              <w:rPr>
                <w:b/>
                <w:bCs/>
                <w:color w:val="2B5F82"/>
              </w:rPr>
              <w:t xml:space="preserve">20</w:t>
            </w:r>
          </w:p>
        </w:tc>
        <w:tc>
          <w:tcPr>
            <w:tcW w:type="dxa" w:w="8100"/>
            <w:tcMar>
              <w:top w:type="dxa" w:w="100"/>
              <w:left w:type="dxa" w:w="160"/>
              <w:bottom w:type="dxa" w:w="100"/>
              <w:right w:type="dxa" w:w="120"/>
            </w:tcMar>
          </w:tcPr>
          <w:p>
            <w:r>
              <w:t xml:space="preserve">Forecast Design: Variables, Windows, and Confidence</w:t>
            </w:r>
          </w:p>
        </w:tc>
      </w:tr>
      <w:tr>
        <w:tc>
          <w:tcPr>
            <w:tcW w:type="dxa" w:w="900"/>
            <w:shd w:fill="EAF1F6" w:val="clear"/>
            <w:tcMar>
              <w:top w:type="dxa" w:w="100"/>
              <w:left w:type="dxa" w:w="120"/>
              <w:bottom w:type="dxa" w:w="100"/>
              <w:right w:type="dxa" w:w="120"/>
            </w:tcMar>
          </w:tcPr>
          <w:p>
            <w:pPr>
              <w:jc w:val="center"/>
            </w:pPr>
            <w:r>
              <w:rPr>
                <w:b/>
                <w:bCs/>
                <w:color w:val="2B5F82"/>
              </w:rPr>
              <w:t xml:space="preserve">21</w:t>
            </w:r>
          </w:p>
        </w:tc>
        <w:tc>
          <w:tcPr>
            <w:tcW w:type="dxa" w:w="8100"/>
            <w:tcMar>
              <w:top w:type="dxa" w:w="100"/>
              <w:left w:type="dxa" w:w="160"/>
              <w:bottom w:type="dxa" w:w="100"/>
              <w:right w:type="dxa" w:w="120"/>
            </w:tcMar>
          </w:tcPr>
          <w:p>
            <w:r>
              <w:t xml:space="preserve">Eight-Week Forecasting Practicum</w:t>
            </w:r>
          </w:p>
        </w:tc>
      </w:tr>
      <w:tr>
        <w:tc>
          <w:tcPr>
            <w:tcW w:type="dxa" w:w="900"/>
            <w:shd w:fill="EAF1F6" w:val="clear"/>
            <w:tcMar>
              <w:top w:type="dxa" w:w="100"/>
              <w:left w:type="dxa" w:w="120"/>
              <w:bottom w:type="dxa" w:w="100"/>
              <w:right w:type="dxa" w:w="120"/>
            </w:tcMar>
          </w:tcPr>
          <w:p>
            <w:pPr>
              <w:jc w:val="center"/>
            </w:pPr>
            <w:r>
              <w:rPr>
                <w:b/>
                <w:bCs/>
                <w:color w:val="2B5F82"/>
              </w:rPr>
              <w:t xml:space="preserve">22</w:t>
            </w:r>
          </w:p>
        </w:tc>
        <w:tc>
          <w:tcPr>
            <w:tcW w:type="dxa" w:w="8100"/>
            <w:tcMar>
              <w:top w:type="dxa" w:w="100"/>
              <w:left w:type="dxa" w:w="160"/>
              <w:bottom w:type="dxa" w:w="100"/>
              <w:right w:type="dxa" w:w="120"/>
            </w:tcMar>
          </w:tcPr>
          <w:p>
            <w:r>
              <w:t xml:space="preserve">Severe Weather, Uncertainty, and Ethical Communication</w:t>
            </w:r>
          </w:p>
        </w:tc>
      </w:tr>
      <w:tr>
        <w:tc>
          <w:tcPr>
            <w:tcW w:type="dxa" w:w="900"/>
            <w:shd w:fill="EAF1F6" w:val="clear"/>
            <w:tcMar>
              <w:top w:type="dxa" w:w="100"/>
              <w:left w:type="dxa" w:w="120"/>
              <w:bottom w:type="dxa" w:w="100"/>
              <w:right w:type="dxa" w:w="120"/>
            </w:tcMar>
          </w:tcPr>
          <w:p>
            <w:pPr>
              <w:jc w:val="center"/>
            </w:pPr>
            <w:r>
              <w:rPr>
                <w:b/>
                <w:bCs/>
                <w:color w:val="2B5F82"/>
              </w:rPr>
              <w:t xml:space="preserve">23</w:t>
            </w:r>
          </w:p>
        </w:tc>
        <w:tc>
          <w:tcPr>
            <w:tcW w:type="dxa" w:w="8100"/>
            <w:tcMar>
              <w:top w:type="dxa" w:w="100"/>
              <w:left w:type="dxa" w:w="160"/>
              <w:bottom w:type="dxa" w:w="100"/>
              <w:right w:type="dxa" w:w="120"/>
            </w:tcMar>
          </w:tcPr>
          <w:p>
            <w:r>
              <w:t xml:space="preserve">Results Audit and Method Review</w:t>
            </w:r>
          </w:p>
        </w:tc>
      </w:tr>
      <w:tr>
        <w:tc>
          <w:tcPr>
            <w:tcW w:type="dxa" w:w="900"/>
            <w:shd w:fill="EAF1F6" w:val="clear"/>
            <w:tcMar>
              <w:top w:type="dxa" w:w="100"/>
              <w:left w:type="dxa" w:w="120"/>
              <w:bottom w:type="dxa" w:w="100"/>
              <w:right w:type="dxa" w:w="120"/>
            </w:tcMar>
          </w:tcPr>
          <w:p>
            <w:pPr>
              <w:jc w:val="center"/>
            </w:pPr>
            <w:r>
              <w:rPr>
                <w:b/>
                <w:bCs/>
                <w:color w:val="2B5F82"/>
              </w:rPr>
              <w:t xml:space="preserve">24</w:t>
            </w:r>
          </w:p>
        </w:tc>
        <w:tc>
          <w:tcPr>
            <w:tcW w:type="dxa" w:w="8100"/>
            <w:tcMar>
              <w:top w:type="dxa" w:w="100"/>
              <w:left w:type="dxa" w:w="160"/>
              <w:bottom w:type="dxa" w:w="100"/>
              <w:right w:type="dxa" w:w="120"/>
            </w:tcMar>
          </w:tcPr>
          <w:p>
            <w:r>
              <w:t xml:space="preserve">Final Portfolio, Examination, and Instructor Guide</w:t>
            </w:r>
          </w:p>
        </w:tc>
      </w:tr>
    </w:tbl>
    <w:p/>
    <w:p>
      <w:pPr>
        <w:spacing w:after="60" w:before="320"/>
      </w:pPr>
      <w:r>
        <w:rPr>
          <w:b/>
          <w:bCs/>
          <w:color w:val="1C314A"/>
          <w:sz w:val="24"/>
          <w:szCs w:val="24"/>
        </w:rPr>
        <w:t xml:space="preserve">Course 4 — Annual and Seasonal Forecasting, Regional Synthesis, and Master Certification</w:t>
      </w:r>
    </w:p>
    <w:p>
      <w:pPr>
        <w:spacing w:after="140"/>
      </w:pPr>
      <w:r>
        <w:rPr>
          <w:i/>
          <w:iCs/>
          <w:color w:val="5C6770"/>
          <w:sz w:val="20"/>
          <w:szCs w:val="20"/>
        </w:rPr>
        <w:t xml:space="preserve">Chapters 25–32</w:t>
      </w:r>
    </w:p>
    <w:tbl>
      <w:tblPr>
        <w:tblW w:type="dxa" w:w="9000"/>
        <w:tblBorders>
          <w:top w:val="single" w:color="C9D4DC" w:sz="4"/>
          <w:left w:val="none"/>
          <w:bottom w:val="single" w:color="C9D4DC" w:sz="4"/>
          <w:right w:val="none"/>
          <w:insideH w:val="single" w:color="E2E8ED" w:sz="2"/>
          <w:insideV w:val="none"/>
        </w:tblBorders>
      </w:tblPr>
      <w:tblGrid>
        <w:gridCol w:w="900"/>
        <w:gridCol w:w="8100"/>
      </w:tblGrid>
      <w:tr>
        <w:tc>
          <w:tcPr>
            <w:tcW w:type="dxa" w:w="900"/>
            <w:shd w:fill="EAF1F6" w:val="clear"/>
            <w:tcMar>
              <w:top w:type="dxa" w:w="100"/>
              <w:left w:type="dxa" w:w="120"/>
              <w:bottom w:type="dxa" w:w="100"/>
              <w:right w:type="dxa" w:w="120"/>
            </w:tcMar>
          </w:tcPr>
          <w:p>
            <w:pPr>
              <w:jc w:val="center"/>
            </w:pPr>
            <w:r>
              <w:rPr>
                <w:b/>
                <w:bCs/>
                <w:color w:val="2B5F82"/>
              </w:rPr>
              <w:t xml:space="preserve">25</w:t>
            </w:r>
          </w:p>
        </w:tc>
        <w:tc>
          <w:tcPr>
            <w:tcW w:type="dxa" w:w="8100"/>
            <w:tcMar>
              <w:top w:type="dxa" w:w="100"/>
              <w:left w:type="dxa" w:w="160"/>
              <w:bottom w:type="dxa" w:w="100"/>
              <w:right w:type="dxa" w:w="120"/>
            </w:tcMar>
          </w:tcPr>
          <w:p>
            <w:r>
              <w:t xml:space="preserve">The Annual Figure and the Aries Ingress</w:t>
            </w:r>
          </w:p>
        </w:tc>
      </w:tr>
      <w:tr>
        <w:tc>
          <w:tcPr>
            <w:tcW w:type="dxa" w:w="900"/>
            <w:shd w:fill="EAF1F6" w:val="clear"/>
            <w:tcMar>
              <w:top w:type="dxa" w:w="100"/>
              <w:left w:type="dxa" w:w="120"/>
              <w:bottom w:type="dxa" w:w="100"/>
              <w:right w:type="dxa" w:w="120"/>
            </w:tcMar>
          </w:tcPr>
          <w:p>
            <w:pPr>
              <w:jc w:val="center"/>
            </w:pPr>
            <w:r>
              <w:rPr>
                <w:b/>
                <w:bCs/>
                <w:color w:val="2B5F82"/>
              </w:rPr>
              <w:t xml:space="preserve">26</w:t>
            </w:r>
          </w:p>
        </w:tc>
        <w:tc>
          <w:tcPr>
            <w:tcW w:type="dxa" w:w="8100"/>
            <w:tcMar>
              <w:top w:type="dxa" w:w="100"/>
              <w:left w:type="dxa" w:w="160"/>
              <w:bottom w:type="dxa" w:w="100"/>
              <w:right w:type="dxa" w:w="120"/>
            </w:tcMar>
          </w:tcPr>
          <w:p>
            <w:r>
              <w:t xml:space="preserve">Seasonal Quarters and the Hierarchy of Causes</w:t>
            </w:r>
          </w:p>
        </w:tc>
      </w:tr>
      <w:tr>
        <w:tc>
          <w:tcPr>
            <w:tcW w:type="dxa" w:w="900"/>
            <w:shd w:fill="EAF1F6" w:val="clear"/>
            <w:tcMar>
              <w:top w:type="dxa" w:w="100"/>
              <w:left w:type="dxa" w:w="120"/>
              <w:bottom w:type="dxa" w:w="100"/>
              <w:right w:type="dxa" w:w="120"/>
            </w:tcMar>
          </w:tcPr>
          <w:p>
            <w:pPr>
              <w:jc w:val="center"/>
            </w:pPr>
            <w:r>
              <w:rPr>
                <w:b/>
                <w:bCs/>
                <w:color w:val="2B5F82"/>
              </w:rPr>
              <w:t xml:space="preserve">27</w:t>
            </w:r>
          </w:p>
        </w:tc>
        <w:tc>
          <w:tcPr>
            <w:tcW w:type="dxa" w:w="8100"/>
            <w:tcMar>
              <w:top w:type="dxa" w:w="100"/>
              <w:left w:type="dxa" w:w="160"/>
              <w:bottom w:type="dxa" w:w="100"/>
              <w:right w:type="dxa" w:w="120"/>
            </w:tcMar>
          </w:tcPr>
          <w:p>
            <w:r>
              <w:t xml:space="preserve">Monthly Lunations and the Four Lunar Figures</w:t>
            </w:r>
          </w:p>
        </w:tc>
      </w:tr>
      <w:tr>
        <w:tc>
          <w:tcPr>
            <w:tcW w:type="dxa" w:w="900"/>
            <w:shd w:fill="EAF1F6" w:val="clear"/>
            <w:tcMar>
              <w:top w:type="dxa" w:w="100"/>
              <w:left w:type="dxa" w:w="120"/>
              <w:bottom w:type="dxa" w:w="100"/>
              <w:right w:type="dxa" w:w="120"/>
            </w:tcMar>
          </w:tcPr>
          <w:p>
            <w:pPr>
              <w:jc w:val="center"/>
            </w:pPr>
            <w:r>
              <w:rPr>
                <w:b/>
                <w:bCs/>
                <w:color w:val="2B5F82"/>
              </w:rPr>
              <w:t xml:space="preserve">28</w:t>
            </w:r>
          </w:p>
        </w:tc>
        <w:tc>
          <w:tcPr>
            <w:tcW w:type="dxa" w:w="8100"/>
            <w:tcMar>
              <w:top w:type="dxa" w:w="100"/>
              <w:left w:type="dxa" w:w="160"/>
              <w:bottom w:type="dxa" w:w="100"/>
              <w:right w:type="dxa" w:w="120"/>
            </w:tcMar>
          </w:tcPr>
          <w:p>
            <w:r>
              <w:t xml:space="preserve">Regional Mapping, Directions, and Local Manifestation</w:t>
            </w:r>
          </w:p>
        </w:tc>
      </w:tr>
      <w:tr>
        <w:tc>
          <w:tcPr>
            <w:tcW w:type="dxa" w:w="900"/>
            <w:shd w:fill="EAF1F6" w:val="clear"/>
            <w:tcMar>
              <w:top w:type="dxa" w:w="100"/>
              <w:left w:type="dxa" w:w="120"/>
              <w:bottom w:type="dxa" w:w="100"/>
              <w:right w:type="dxa" w:w="120"/>
            </w:tcMar>
          </w:tcPr>
          <w:p>
            <w:pPr>
              <w:jc w:val="center"/>
            </w:pPr>
            <w:r>
              <w:rPr>
                <w:b/>
                <w:bCs/>
                <w:color w:val="2B5F82"/>
              </w:rPr>
              <w:t xml:space="preserve">29</w:t>
            </w:r>
          </w:p>
        </w:tc>
        <w:tc>
          <w:tcPr>
            <w:tcW w:type="dxa" w:w="8100"/>
            <w:tcMar>
              <w:top w:type="dxa" w:w="100"/>
              <w:left w:type="dxa" w:w="160"/>
              <w:bottom w:type="dxa" w:w="100"/>
              <w:right w:type="dxa" w:w="120"/>
            </w:tcMar>
          </w:tcPr>
          <w:p>
            <w:r>
              <w:t xml:space="preserve">Timing, Activation, and Critical Weather Windows</w:t>
            </w:r>
          </w:p>
        </w:tc>
      </w:tr>
      <w:tr>
        <w:tc>
          <w:tcPr>
            <w:tcW w:type="dxa" w:w="900"/>
            <w:shd w:fill="EAF1F6" w:val="clear"/>
            <w:tcMar>
              <w:top w:type="dxa" w:w="100"/>
              <w:left w:type="dxa" w:w="120"/>
              <w:bottom w:type="dxa" w:w="100"/>
              <w:right w:type="dxa" w:w="120"/>
            </w:tcMar>
          </w:tcPr>
          <w:p>
            <w:pPr>
              <w:jc w:val="center"/>
            </w:pPr>
            <w:r>
              <w:rPr>
                <w:b/>
                <w:bCs/>
                <w:color w:val="2B5F82"/>
              </w:rPr>
              <w:t xml:space="preserve">30</w:t>
            </w:r>
          </w:p>
        </w:tc>
        <w:tc>
          <w:tcPr>
            <w:tcW w:type="dxa" w:w="8100"/>
            <w:tcMar>
              <w:top w:type="dxa" w:w="100"/>
              <w:left w:type="dxa" w:w="160"/>
              <w:bottom w:type="dxa" w:w="100"/>
              <w:right w:type="dxa" w:w="120"/>
            </w:tcMar>
          </w:tcPr>
          <w:p>
            <w:r>
              <w:t xml:space="preserve">Eclipses, Comets, and Extraordinary Claims</w:t>
            </w:r>
          </w:p>
        </w:tc>
      </w:tr>
      <w:tr>
        <w:tc>
          <w:tcPr>
            <w:tcW w:type="dxa" w:w="900"/>
            <w:shd w:fill="EAF1F6" w:val="clear"/>
            <w:tcMar>
              <w:top w:type="dxa" w:w="100"/>
              <w:left w:type="dxa" w:w="120"/>
              <w:bottom w:type="dxa" w:w="100"/>
              <w:right w:type="dxa" w:w="120"/>
            </w:tcMar>
          </w:tcPr>
          <w:p>
            <w:pPr>
              <w:jc w:val="center"/>
            </w:pPr>
            <w:r>
              <w:rPr>
                <w:b/>
                <w:bCs/>
                <w:color w:val="2B5F82"/>
              </w:rPr>
              <w:t xml:space="preserve">31</w:t>
            </w:r>
          </w:p>
        </w:tc>
        <w:tc>
          <w:tcPr>
            <w:tcW w:type="dxa" w:w="8100"/>
            <w:tcMar>
              <w:top w:type="dxa" w:w="100"/>
              <w:left w:type="dxa" w:w="160"/>
              <w:bottom w:type="dxa" w:w="100"/>
              <w:right w:type="dxa" w:w="120"/>
            </w:tcMar>
          </w:tcPr>
          <w:p>
            <w:r>
              <w:t xml:space="preserve">Professional Writing, Verification, and Publication</w:t>
            </w:r>
          </w:p>
        </w:tc>
      </w:tr>
      <w:tr>
        <w:tc>
          <w:tcPr>
            <w:tcW w:type="dxa" w:w="900"/>
            <w:shd w:fill="EAF1F6" w:val="clear"/>
            <w:tcMar>
              <w:top w:type="dxa" w:w="100"/>
              <w:left w:type="dxa" w:w="120"/>
              <w:bottom w:type="dxa" w:w="100"/>
              <w:right w:type="dxa" w:w="120"/>
            </w:tcMar>
          </w:tcPr>
          <w:p>
            <w:pPr>
              <w:jc w:val="center"/>
            </w:pPr>
            <w:r>
              <w:rPr>
                <w:b/>
                <w:bCs/>
                <w:color w:val="2B5F82"/>
              </w:rPr>
              <w:t xml:space="preserve">32</w:t>
            </w:r>
          </w:p>
        </w:tc>
        <w:tc>
          <w:tcPr>
            <w:tcW w:type="dxa" w:w="8100"/>
            <w:tcMar>
              <w:top w:type="dxa" w:w="100"/>
              <w:left w:type="dxa" w:w="160"/>
              <w:bottom w:type="dxa" w:w="100"/>
              <w:right w:type="dxa" w:w="120"/>
            </w:tcMar>
          </w:tcPr>
          <w:p>
            <w:r>
              <w:t xml:space="preserve">Master Certification Portfolio and Final Examination</w:t>
            </w:r>
          </w:p>
        </w:tc>
      </w:tr>
    </w:tbl>
    <w:p/>
    <w:sectPr>
      <w:headerReference w:type="default" r:id="rId7"/>
      <w:footerReference w:type="default" r:id="rId8"/>
      <w:pgSz w:w="12240" w:h="15840" w:orient="portrait"/>
      <w:pgMar w:top="1008" w:right="1123" w:bottom="1008" w:left="1123"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C6770"/>
        <w:sz w:val="18"/>
        <w:szCs w:val="18"/>
      </w:rPr>
      <w:t xml:space="preserve">Page </w:t>
    </w:r>
    <w:r>
      <w:rPr>
        <w:color w:val="5C6770"/>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D4DC" w:sz="4"/>
      </w:pBdr>
      <w:jc w:val="right"/>
    </w:pPr>
    <w:r>
      <w:rPr>
        <w:color w:val="5C6770"/>
        <w:sz w:val="16"/>
        <w:szCs w:val="16"/>
      </w:rPr>
      <w:t xml:space="preserve">AETA · Traditional Astrometeorology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2026-09-09T13:10:41.183Z</dcterms:created>
  <dcterms:modified xsi:type="dcterms:W3CDTF">2026-09-09T13:10:41.183Z</dcterms:modified>
</cp:coreProperties>
</file>

<file path=docProps/custom.xml><?xml version="1.0" encoding="utf-8"?>
<Properties xmlns="http://schemas.openxmlformats.org/officeDocument/2006/custom-properties" xmlns:vt="http://schemas.openxmlformats.org/officeDocument/2006/docPropsVTypes"/>
</file>