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600"/>
        <w:jc w:val="center"/>
      </w:pPr>
      <w:r>
        <w:rPr>
          <w:b/>
          <w:bCs/>
          <w:color w:val="A67026"/>
          <w:sz w:val="24"/>
          <w:szCs w:val="24"/>
        </w:rPr>
        <w:t xml:space="preserve">AETA</w:t>
      </w:r>
    </w:p>
    <w:p>
      <w:pPr>
        <w:spacing w:after="120"/>
        <w:jc w:val="center"/>
      </w:pPr>
      <w:r>
        <w:rPr>
          <w:b/>
          <w:bCs/>
          <w:color w:val="1C314A"/>
          <w:sz w:val="40"/>
          <w:szCs w:val="40"/>
        </w:rPr>
        <w:t xml:space="preserve">COMPLETE COURSE IN TRADITIONAL ASTROLOGY</w:t>
      </w:r>
    </w:p>
    <w:p>
      <w:pPr>
        <w:spacing w:after="200"/>
        <w:jc w:val="center"/>
      </w:pPr>
      <w:r>
        <w:rPr>
          <w:b/>
          <w:bCs/>
          <w:color w:val="2B5F82"/>
          <w:sz w:val="28"/>
          <w:szCs w:val="28"/>
        </w:rPr>
        <w:t xml:space="preserve">Course Syllabus</w:t>
      </w:r>
    </w:p>
    <w:p>
      <w:pPr>
        <w:spacing w:after="500"/>
        <w:jc w:val="center"/>
      </w:pPr>
      <w:r>
        <w:rPr>
          <w:color w:val="5C6770"/>
          <w:sz w:val="20"/>
          <w:szCs w:val="20"/>
        </w:rPr>
        <w:t xml:space="preserve">English edition · 26 lessons · AETA sequence preserved</w:t>
      </w:r>
    </w:p>
    <w:p>
      <w:pPr>
        <w:pStyle w:val="Heading1"/>
        <w:spacing w:after="200" w:before="200"/>
      </w:pPr>
      <w:r>
        <w:rPr>
          <w:color w:val="1C314A"/>
        </w:rPr>
        <w:t xml:space="preserve">Why is this one of the most complete courses in traditional astrology?</w:t>
      </w:r>
    </w:p>
    <w:p>
      <w:pPr>
        <w:spacing w:after="200"/>
        <w:jc w:val="both"/>
      </w:pPr>
      <w:r>
        <w:rPr>
          <w:sz w:val="22"/>
          <w:szCs w:val="22"/>
        </w:rPr>
        <w:t xml:space="preserve">Traditional astrology is not a collection of isolated rules — it is a complete system of knowledge, transmitted for more than two thousand years by authors whose works remain the foundation of all serious prediction today. This course does not interpret that tradition secondhand — it works directly from the primary sources: Claudius Ptolemy, Vettius Valens, Julius Firmicus Maternus, Dorotheus of Sidon, and Rhetorius among the Hellenistic astrologers; Abū Ma'shar, Māshā'allāh, Albubather, and ʿAlī ibn Abī al-Rijāl (Haly Abenragel) among the medieval Arabic astrologers; and Guido Bonatti, Johannes Engel, Jean-Baptiste Morin, and William Lilly among the great European systematizers.</w:t>
      </w:r>
    </w:p>
    <w:p>
      <w:pPr>
        <w:spacing w:after="200"/>
        <w:jc w:val="both"/>
      </w:pPr>
      <w:r>
        <w:rPr>
          <w:sz w:val="22"/>
          <w:szCs w:val="22"/>
        </w:rPr>
        <w:t xml:space="preserve">What makes this course exceptionally complete is not only the breadth of its sources but its architecture: 26 lessons that trace, without gaps, the full path from foundations — the Houses, the signs, the elements — to complete natal judgment and the tradition's most sophisticated timing techniques: Firdaria, Profections, Solar Return, Transits, primary directions (Atasyir), and the Lots or kleroi. Few modern programs integrate these techniques coherently; most present them piecemeal, or leave them out entirely.</w:t>
      </w:r>
    </w:p>
    <w:p>
      <w:pPr>
        <w:spacing w:after="200"/>
        <w:jc w:val="both"/>
      </w:pPr>
      <w:r>
        <w:rPr>
          <w:sz w:val="22"/>
          <w:szCs w:val="22"/>
        </w:rPr>
        <w:t xml:space="preserve">Every lesson preserves the rigor of the original source while translating it into applicable procedure: it does not simply explain what the ancients thought — it teaches how to use that knowledge, through demonstrations, worked examples, and guided practice, to render a complete astrological judgment on any natal chart: character, health, longevity, marriage, children, talent, social standing, profession, fortune, and the very purpose of the consultation itself.</w:t>
      </w:r>
    </w:p>
    <w:p>
      <w:pPr>
        <w:spacing w:after="200"/>
        <w:jc w:val="both"/>
      </w:pPr>
      <w:r>
        <w:rPr>
          <w:sz w:val="22"/>
          <w:szCs w:val="22"/>
        </w:rPr>
        <w:t xml:space="preserve">At a time when much of popular astrology reduces the art to sun-sign generalities, this course restores to the student the complete system as its own architects understood it: an exact, verifiable, and deeply human discipline.</w:t>
      </w:r>
    </w:p>
    <w:p>
      <w:pPr>
        <w:pageBreakBefore/>
      </w:pPr>
      <w:r>
        <w:br/>
        <w:t xml:space="preserve"/>
      </w:r>
    </w:p>
    <w:p>
      <w:pPr>
        <w:pStyle w:val="Heading1"/>
        <w:spacing w:after="240" w:before="0"/>
      </w:pPr>
      <w:r>
        <w:rPr>
          <w:color w:val="1C314A"/>
        </w:rPr>
        <w:t xml:space="preserve">Course Syllabus</w:t>
      </w:r>
    </w:p>
    <w:p>
      <w:pPr>
        <w:spacing w:after="60" w:before="320"/>
      </w:pPr>
      <w:r>
        <w:rPr>
          <w:b/>
          <w:bCs/>
          <w:color w:val="1C314A"/>
          <w:sz w:val="26"/>
          <w:szCs w:val="26"/>
        </w:rPr>
        <w:t xml:space="preserve">Part I — Foundations</w:t>
      </w:r>
    </w:p>
    <w:p>
      <w:pPr>
        <w:spacing w:after="140"/>
      </w:pPr>
      <w:r>
        <w:rPr>
          <w:i/>
          <w:iCs/>
          <w:color w:val="5C6770"/>
          <w:sz w:val="20"/>
          <w:szCs w:val="20"/>
        </w:rPr>
        <w:t xml:space="preserve">Lessons 1–3</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1</w:t>
            </w:r>
          </w:p>
        </w:tc>
        <w:tc>
          <w:tcPr>
            <w:tcW w:type="dxa" w:w="8100"/>
            <w:tcMar>
              <w:top w:type="dxa" w:w="100"/>
              <w:left w:type="dxa" w:w="160"/>
              <w:bottom w:type="dxa" w:w="100"/>
              <w:right w:type="dxa" w:w="120"/>
            </w:tcMar>
          </w:tcPr>
          <w:p>
            <w:r>
              <w:t xml:space="preserve">The Celestial Dwellings and the Framework of the Sky</w:t>
            </w:r>
          </w:p>
        </w:tc>
      </w:tr>
      <w:tr>
        <w:tc>
          <w:tcPr>
            <w:tcW w:type="dxa" w:w="900"/>
            <w:shd w:fill="EAF1F6" w:val="clear"/>
            <w:tcMar>
              <w:top w:type="dxa" w:w="100"/>
              <w:left w:type="dxa" w:w="120"/>
              <w:bottom w:type="dxa" w:w="100"/>
              <w:right w:type="dxa" w:w="120"/>
            </w:tcMar>
          </w:tcPr>
          <w:p>
            <w:pPr>
              <w:jc w:val="center"/>
            </w:pPr>
            <w:r>
              <w:rPr>
                <w:b/>
                <w:bCs/>
                <w:color w:val="2B5F82"/>
              </w:rPr>
              <w:t xml:space="preserve">2</w:t>
            </w:r>
          </w:p>
        </w:tc>
        <w:tc>
          <w:tcPr>
            <w:tcW w:type="dxa" w:w="8100"/>
            <w:tcMar>
              <w:top w:type="dxa" w:w="100"/>
              <w:left w:type="dxa" w:w="160"/>
              <w:bottom w:type="dxa" w:w="100"/>
              <w:right w:type="dxa" w:w="120"/>
            </w:tcMar>
          </w:tcPr>
          <w:p>
            <w:r>
              <w:t xml:space="preserve">Signs, Elements, and Technical Classifications</w:t>
            </w:r>
          </w:p>
        </w:tc>
      </w:tr>
      <w:tr>
        <w:tc>
          <w:tcPr>
            <w:tcW w:type="dxa" w:w="900"/>
            <w:shd w:fill="EAF1F6" w:val="clear"/>
            <w:tcMar>
              <w:top w:type="dxa" w:w="100"/>
              <w:left w:type="dxa" w:w="120"/>
              <w:bottom w:type="dxa" w:w="100"/>
              <w:right w:type="dxa" w:w="120"/>
            </w:tcMar>
          </w:tcPr>
          <w:p>
            <w:pPr>
              <w:jc w:val="center"/>
            </w:pPr>
            <w:r>
              <w:rPr>
                <w:b/>
                <w:bCs/>
                <w:color w:val="2B5F82"/>
              </w:rPr>
              <w:t xml:space="preserve">3</w:t>
            </w:r>
          </w:p>
        </w:tc>
        <w:tc>
          <w:tcPr>
            <w:tcW w:type="dxa" w:w="8100"/>
            <w:tcMar>
              <w:top w:type="dxa" w:w="100"/>
              <w:left w:type="dxa" w:w="160"/>
              <w:bottom w:type="dxa" w:w="100"/>
              <w:right w:type="dxa" w:w="120"/>
            </w:tcMar>
          </w:tcPr>
          <w:p>
            <w:r>
              <w:t xml:space="preserve">Houses and Local Determination</w:t>
            </w:r>
          </w:p>
        </w:tc>
      </w:tr>
    </w:tbl>
    <w:p/>
    <w:p>
      <w:pPr>
        <w:spacing w:after="60" w:before="320"/>
      </w:pPr>
      <w:r>
        <w:rPr>
          <w:b/>
          <w:bCs/>
          <w:color w:val="1C314A"/>
          <w:sz w:val="26"/>
          <w:szCs w:val="26"/>
        </w:rPr>
        <w:t xml:space="preserve">Part II — The Planets and the Chart</w:t>
      </w:r>
    </w:p>
    <w:p>
      <w:pPr>
        <w:spacing w:after="140"/>
      </w:pPr>
      <w:r>
        <w:rPr>
          <w:i/>
          <w:iCs/>
          <w:color w:val="5C6770"/>
          <w:sz w:val="20"/>
          <w:szCs w:val="20"/>
        </w:rPr>
        <w:t xml:space="preserve">Lessons 4–10</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4</w:t>
            </w:r>
          </w:p>
        </w:tc>
        <w:tc>
          <w:tcPr>
            <w:tcW w:type="dxa" w:w="8100"/>
            <w:tcMar>
              <w:top w:type="dxa" w:w="100"/>
              <w:left w:type="dxa" w:w="160"/>
              <w:bottom w:type="dxa" w:w="100"/>
              <w:right w:type="dxa" w:w="120"/>
            </w:tcMar>
          </w:tcPr>
          <w:p>
            <w:r>
              <w:t xml:space="preserve">The Planets as Agents</w:t>
            </w:r>
          </w:p>
        </w:tc>
      </w:tr>
      <w:tr>
        <w:tc>
          <w:tcPr>
            <w:tcW w:type="dxa" w:w="900"/>
            <w:shd w:fill="EAF1F6" w:val="clear"/>
            <w:tcMar>
              <w:top w:type="dxa" w:w="100"/>
              <w:left w:type="dxa" w:w="120"/>
              <w:bottom w:type="dxa" w:w="100"/>
              <w:right w:type="dxa" w:w="120"/>
            </w:tcMar>
          </w:tcPr>
          <w:p>
            <w:pPr>
              <w:jc w:val="center"/>
            </w:pPr>
            <w:r>
              <w:rPr>
                <w:b/>
                <w:bCs/>
                <w:color w:val="2B5F82"/>
              </w:rPr>
              <w:t xml:space="preserve">5</w:t>
            </w:r>
          </w:p>
        </w:tc>
        <w:tc>
          <w:tcPr>
            <w:tcW w:type="dxa" w:w="8100"/>
            <w:tcMar>
              <w:top w:type="dxa" w:w="100"/>
              <w:left w:type="dxa" w:w="160"/>
              <w:bottom w:type="dxa" w:w="100"/>
              <w:right w:type="dxa" w:w="120"/>
            </w:tcMar>
          </w:tcPr>
          <w:p>
            <w:r>
              <w:t xml:space="preserve">Applied Planetary Significations</w:t>
            </w:r>
          </w:p>
        </w:tc>
      </w:tr>
      <w:tr>
        <w:tc>
          <w:tcPr>
            <w:tcW w:type="dxa" w:w="900"/>
            <w:shd w:fill="EAF1F6" w:val="clear"/>
            <w:tcMar>
              <w:top w:type="dxa" w:w="100"/>
              <w:left w:type="dxa" w:w="120"/>
              <w:bottom w:type="dxa" w:w="100"/>
              <w:right w:type="dxa" w:w="120"/>
            </w:tcMar>
          </w:tcPr>
          <w:p>
            <w:pPr>
              <w:jc w:val="center"/>
            </w:pPr>
            <w:r>
              <w:rPr>
                <w:b/>
                <w:bCs/>
                <w:color w:val="2B5F82"/>
              </w:rPr>
              <w:t xml:space="preserve">6</w:t>
            </w:r>
          </w:p>
        </w:tc>
        <w:tc>
          <w:tcPr>
            <w:tcW w:type="dxa" w:w="8100"/>
            <w:tcMar>
              <w:top w:type="dxa" w:w="100"/>
              <w:left w:type="dxa" w:w="160"/>
              <w:bottom w:type="dxa" w:w="100"/>
              <w:right w:type="dxa" w:w="120"/>
            </w:tcMar>
          </w:tcPr>
          <w:p>
            <w:r>
              <w:t xml:space="preserve">The Moon</w:t>
            </w:r>
          </w:p>
        </w:tc>
      </w:tr>
      <w:tr>
        <w:tc>
          <w:tcPr>
            <w:tcW w:type="dxa" w:w="900"/>
            <w:shd w:fill="EAF1F6" w:val="clear"/>
            <w:tcMar>
              <w:top w:type="dxa" w:w="100"/>
              <w:left w:type="dxa" w:w="120"/>
              <w:bottom w:type="dxa" w:w="100"/>
              <w:right w:type="dxa" w:w="120"/>
            </w:tcMar>
          </w:tcPr>
          <w:p>
            <w:pPr>
              <w:jc w:val="center"/>
            </w:pPr>
            <w:r>
              <w:rPr>
                <w:b/>
                <w:bCs/>
                <w:color w:val="2B5F82"/>
              </w:rPr>
              <w:t xml:space="preserve">7</w:t>
            </w:r>
          </w:p>
        </w:tc>
        <w:tc>
          <w:tcPr>
            <w:tcW w:type="dxa" w:w="8100"/>
            <w:tcMar>
              <w:top w:type="dxa" w:w="100"/>
              <w:left w:type="dxa" w:w="160"/>
              <w:bottom w:type="dxa" w:w="100"/>
              <w:right w:type="dxa" w:w="120"/>
            </w:tcMar>
          </w:tcPr>
          <w:p>
            <w:r>
              <w:t xml:space="preserve">Signs on the Four Angles</w:t>
            </w:r>
          </w:p>
        </w:tc>
      </w:tr>
      <w:tr>
        <w:tc>
          <w:tcPr>
            <w:tcW w:type="dxa" w:w="900"/>
            <w:shd w:fill="EAF1F6" w:val="clear"/>
            <w:tcMar>
              <w:top w:type="dxa" w:w="100"/>
              <w:left w:type="dxa" w:w="120"/>
              <w:bottom w:type="dxa" w:w="100"/>
              <w:right w:type="dxa" w:w="120"/>
            </w:tcMar>
          </w:tcPr>
          <w:p>
            <w:pPr>
              <w:jc w:val="center"/>
            </w:pPr>
            <w:r>
              <w:rPr>
                <w:b/>
                <w:bCs/>
                <w:color w:val="2B5F82"/>
              </w:rPr>
              <w:t xml:space="preserve">8</w:t>
            </w:r>
          </w:p>
        </w:tc>
        <w:tc>
          <w:tcPr>
            <w:tcW w:type="dxa" w:w="8100"/>
            <w:tcMar>
              <w:top w:type="dxa" w:w="100"/>
              <w:left w:type="dxa" w:w="160"/>
              <w:bottom w:type="dxa" w:w="100"/>
              <w:right w:type="dxa" w:w="120"/>
            </w:tcMar>
          </w:tcPr>
          <w:p>
            <w:r>
              <w:t xml:space="preserve">Subdivisions, Dignities, and Reception</w:t>
            </w:r>
          </w:p>
        </w:tc>
      </w:tr>
      <w:tr>
        <w:tc>
          <w:tcPr>
            <w:tcW w:type="dxa" w:w="900"/>
            <w:shd w:fill="EAF1F6" w:val="clear"/>
            <w:tcMar>
              <w:top w:type="dxa" w:w="100"/>
              <w:left w:type="dxa" w:w="120"/>
              <w:bottom w:type="dxa" w:w="100"/>
              <w:right w:type="dxa" w:w="120"/>
            </w:tcMar>
          </w:tcPr>
          <w:p>
            <w:pPr>
              <w:jc w:val="center"/>
            </w:pPr>
            <w:r>
              <w:rPr>
                <w:b/>
                <w:bCs/>
                <w:color w:val="2B5F82"/>
              </w:rPr>
              <w:t xml:space="preserve">9</w:t>
            </w:r>
          </w:p>
        </w:tc>
        <w:tc>
          <w:tcPr>
            <w:tcW w:type="dxa" w:w="8100"/>
            <w:tcMar>
              <w:top w:type="dxa" w:w="100"/>
              <w:left w:type="dxa" w:w="160"/>
              <w:bottom w:type="dxa" w:w="100"/>
              <w:right w:type="dxa" w:w="120"/>
            </w:tcMar>
          </w:tcPr>
          <w:p>
            <w:r>
              <w:t xml:space="preserve">Delineation I: Promise, Significators, and the Order of Judgment</w:t>
            </w:r>
          </w:p>
        </w:tc>
      </w:tr>
      <w:tr>
        <w:tc>
          <w:tcPr>
            <w:tcW w:type="dxa" w:w="900"/>
            <w:shd w:fill="EAF1F6" w:val="clear"/>
            <w:tcMar>
              <w:top w:type="dxa" w:w="100"/>
              <w:left w:type="dxa" w:w="120"/>
              <w:bottom w:type="dxa" w:w="100"/>
              <w:right w:type="dxa" w:w="120"/>
            </w:tcMar>
          </w:tcPr>
          <w:p>
            <w:pPr>
              <w:jc w:val="center"/>
            </w:pPr>
            <w:r>
              <w:rPr>
                <w:b/>
                <w:bCs/>
                <w:color w:val="2B5F82"/>
              </w:rPr>
              <w:t xml:space="preserve">10</w:t>
            </w:r>
          </w:p>
        </w:tc>
        <w:tc>
          <w:tcPr>
            <w:tcW w:type="dxa" w:w="8100"/>
            <w:tcMar>
              <w:top w:type="dxa" w:w="100"/>
              <w:left w:type="dxa" w:w="160"/>
              <w:bottom w:type="dxa" w:w="100"/>
              <w:right w:type="dxa" w:w="120"/>
            </w:tcMar>
          </w:tcPr>
          <w:p>
            <w:r>
              <w:t xml:space="preserve">Body, Temperament, Character, and Faculties</w:t>
            </w:r>
          </w:p>
        </w:tc>
      </w:tr>
    </w:tbl>
    <w:p/>
    <w:p>
      <w:pPr>
        <w:spacing w:after="60" w:before="320"/>
      </w:pPr>
      <w:r>
        <w:rPr>
          <w:b/>
          <w:bCs/>
          <w:color w:val="1C314A"/>
          <w:sz w:val="26"/>
          <w:szCs w:val="26"/>
        </w:rPr>
        <w:t xml:space="preserve">Part III — Advanced Diagnostic Techniques</w:t>
      </w:r>
    </w:p>
    <w:p>
      <w:pPr>
        <w:spacing w:after="140"/>
      </w:pPr>
      <w:r>
        <w:rPr>
          <w:i/>
          <w:iCs/>
          <w:color w:val="5C6770"/>
          <w:sz w:val="20"/>
          <w:szCs w:val="20"/>
        </w:rPr>
        <w:t xml:space="preserve">Lessons 11–14</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11</w:t>
            </w:r>
          </w:p>
        </w:tc>
        <w:tc>
          <w:tcPr>
            <w:tcW w:type="dxa" w:w="8100"/>
            <w:tcMar>
              <w:top w:type="dxa" w:w="100"/>
              <w:left w:type="dxa" w:w="160"/>
              <w:bottom w:type="dxa" w:w="100"/>
              <w:right w:type="dxa" w:w="120"/>
            </w:tcMar>
          </w:tcPr>
          <w:p>
            <w:r>
              <w:t xml:space="preserve">Twelfth-Parts or Dodekatemoria</w:t>
            </w:r>
          </w:p>
        </w:tc>
      </w:tr>
      <w:tr>
        <w:tc>
          <w:tcPr>
            <w:tcW w:type="dxa" w:w="900"/>
            <w:shd w:fill="EAF1F6" w:val="clear"/>
            <w:tcMar>
              <w:top w:type="dxa" w:w="100"/>
              <w:left w:type="dxa" w:w="120"/>
              <w:bottom w:type="dxa" w:w="100"/>
              <w:right w:type="dxa" w:w="120"/>
            </w:tcMar>
          </w:tcPr>
          <w:p>
            <w:pPr>
              <w:jc w:val="center"/>
            </w:pPr>
            <w:r>
              <w:rPr>
                <w:b/>
                <w:bCs/>
                <w:color w:val="2B5F82"/>
              </w:rPr>
              <w:t xml:space="preserve">12</w:t>
            </w:r>
          </w:p>
        </w:tc>
        <w:tc>
          <w:tcPr>
            <w:tcW w:type="dxa" w:w="8100"/>
            <w:tcMar>
              <w:top w:type="dxa" w:w="100"/>
              <w:left w:type="dxa" w:w="160"/>
              <w:bottom w:type="dxa" w:w="100"/>
              <w:right w:type="dxa" w:w="120"/>
            </w:tcMar>
          </w:tcPr>
          <w:p>
            <w:r>
              <w:t xml:space="preserve">Longevity: Historical Doctrine and Limits of Use</w:t>
            </w:r>
          </w:p>
        </w:tc>
      </w:tr>
      <w:tr>
        <w:tc>
          <w:tcPr>
            <w:tcW w:type="dxa" w:w="900"/>
            <w:shd w:fill="EAF1F6" w:val="clear"/>
            <w:tcMar>
              <w:top w:type="dxa" w:w="100"/>
              <w:left w:type="dxa" w:w="120"/>
              <w:bottom w:type="dxa" w:w="100"/>
              <w:right w:type="dxa" w:w="120"/>
            </w:tcMar>
          </w:tcPr>
          <w:p>
            <w:pPr>
              <w:jc w:val="center"/>
            </w:pPr>
            <w:r>
              <w:rPr>
                <w:b/>
                <w:bCs/>
                <w:color w:val="2B5F82"/>
              </w:rPr>
              <w:t xml:space="preserve">13</w:t>
            </w:r>
          </w:p>
        </w:tc>
        <w:tc>
          <w:tcPr>
            <w:tcW w:type="dxa" w:w="8100"/>
            <w:tcMar>
              <w:top w:type="dxa" w:w="100"/>
              <w:left w:type="dxa" w:w="160"/>
              <w:bottom w:type="dxa" w:w="100"/>
              <w:right w:type="dxa" w:w="120"/>
            </w:tcMar>
          </w:tcPr>
          <w:p>
            <w:r>
              <w:t xml:space="preserve">Almuten Figuris and Predominating Authority</w:t>
            </w:r>
          </w:p>
        </w:tc>
      </w:tr>
      <w:tr>
        <w:tc>
          <w:tcPr>
            <w:tcW w:type="dxa" w:w="900"/>
            <w:shd w:fill="EAF1F6" w:val="clear"/>
            <w:tcMar>
              <w:top w:type="dxa" w:w="100"/>
              <w:left w:type="dxa" w:w="120"/>
              <w:bottom w:type="dxa" w:w="100"/>
              <w:right w:type="dxa" w:w="120"/>
            </w:tcMar>
          </w:tcPr>
          <w:p>
            <w:pPr>
              <w:jc w:val="center"/>
            </w:pPr>
            <w:r>
              <w:rPr>
                <w:b/>
                <w:bCs/>
                <w:color w:val="2B5F82"/>
              </w:rPr>
              <w:t xml:space="preserve">14</w:t>
            </w:r>
          </w:p>
        </w:tc>
        <w:tc>
          <w:tcPr>
            <w:tcW w:type="dxa" w:w="8100"/>
            <w:tcMar>
              <w:top w:type="dxa" w:w="100"/>
              <w:left w:type="dxa" w:w="160"/>
              <w:bottom w:type="dxa" w:w="100"/>
              <w:right w:type="dxa" w:w="120"/>
            </w:tcMar>
          </w:tcPr>
          <w:p>
            <w:r>
              <w:t xml:space="preserve">Lots or Kleroi</w:t>
            </w:r>
          </w:p>
        </w:tc>
      </w:tr>
    </w:tbl>
    <w:p/>
    <w:p>
      <w:pPr>
        <w:spacing w:after="60" w:before="320"/>
      </w:pPr>
      <w:r>
        <w:rPr>
          <w:b/>
          <w:bCs/>
          <w:color w:val="1C314A"/>
          <w:sz w:val="26"/>
          <w:szCs w:val="26"/>
        </w:rPr>
        <w:t xml:space="preserve">Part IV — Timing Techniques</w:t>
      </w:r>
    </w:p>
    <w:p>
      <w:pPr>
        <w:spacing w:after="140"/>
      </w:pPr>
      <w:r>
        <w:rPr>
          <w:i/>
          <w:iCs/>
          <w:color w:val="5C6770"/>
          <w:sz w:val="20"/>
          <w:szCs w:val="20"/>
        </w:rPr>
        <w:t xml:space="preserve">Lessons 15–19</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15</w:t>
            </w:r>
          </w:p>
        </w:tc>
        <w:tc>
          <w:tcPr>
            <w:tcW w:type="dxa" w:w="8100"/>
            <w:tcMar>
              <w:top w:type="dxa" w:w="100"/>
              <w:left w:type="dxa" w:w="160"/>
              <w:bottom w:type="dxa" w:w="100"/>
              <w:right w:type="dxa" w:w="120"/>
            </w:tcMar>
          </w:tcPr>
          <w:p>
            <w:r>
              <w:t xml:space="preserve">Firdaria</w:t>
            </w:r>
          </w:p>
        </w:tc>
      </w:tr>
      <w:tr>
        <w:tc>
          <w:tcPr>
            <w:tcW w:type="dxa" w:w="900"/>
            <w:shd w:fill="EAF1F6" w:val="clear"/>
            <w:tcMar>
              <w:top w:type="dxa" w:w="100"/>
              <w:left w:type="dxa" w:w="120"/>
              <w:bottom w:type="dxa" w:w="100"/>
              <w:right w:type="dxa" w:w="120"/>
            </w:tcMar>
          </w:tcPr>
          <w:p>
            <w:pPr>
              <w:jc w:val="center"/>
            </w:pPr>
            <w:r>
              <w:rPr>
                <w:b/>
                <w:bCs/>
                <w:color w:val="2B5F82"/>
              </w:rPr>
              <w:t xml:space="preserve">16</w:t>
            </w:r>
          </w:p>
        </w:tc>
        <w:tc>
          <w:tcPr>
            <w:tcW w:type="dxa" w:w="8100"/>
            <w:tcMar>
              <w:top w:type="dxa" w:w="100"/>
              <w:left w:type="dxa" w:w="160"/>
              <w:bottom w:type="dxa" w:w="100"/>
              <w:right w:type="dxa" w:w="120"/>
            </w:tcMar>
          </w:tcPr>
          <w:p>
            <w:r>
              <w:t xml:space="preserve">Profections</w:t>
            </w:r>
          </w:p>
        </w:tc>
      </w:tr>
      <w:tr>
        <w:tc>
          <w:tcPr>
            <w:tcW w:type="dxa" w:w="900"/>
            <w:shd w:fill="EAF1F6" w:val="clear"/>
            <w:tcMar>
              <w:top w:type="dxa" w:w="100"/>
              <w:left w:type="dxa" w:w="120"/>
              <w:bottom w:type="dxa" w:w="100"/>
              <w:right w:type="dxa" w:w="120"/>
            </w:tcMar>
          </w:tcPr>
          <w:p>
            <w:pPr>
              <w:jc w:val="center"/>
            </w:pPr>
            <w:r>
              <w:rPr>
                <w:b/>
                <w:bCs/>
                <w:color w:val="2B5F82"/>
              </w:rPr>
              <w:t xml:space="preserve">17</w:t>
            </w:r>
          </w:p>
        </w:tc>
        <w:tc>
          <w:tcPr>
            <w:tcW w:type="dxa" w:w="8100"/>
            <w:tcMar>
              <w:top w:type="dxa" w:w="100"/>
              <w:left w:type="dxa" w:w="160"/>
              <w:bottom w:type="dxa" w:w="100"/>
              <w:right w:type="dxa" w:w="120"/>
            </w:tcMar>
          </w:tcPr>
          <w:p>
            <w:r>
              <w:t xml:space="preserve">Solar Return</w:t>
            </w:r>
          </w:p>
        </w:tc>
      </w:tr>
      <w:tr>
        <w:tc>
          <w:tcPr>
            <w:tcW w:type="dxa" w:w="900"/>
            <w:shd w:fill="EAF1F6" w:val="clear"/>
            <w:tcMar>
              <w:top w:type="dxa" w:w="100"/>
              <w:left w:type="dxa" w:w="120"/>
              <w:bottom w:type="dxa" w:w="100"/>
              <w:right w:type="dxa" w:w="120"/>
            </w:tcMar>
          </w:tcPr>
          <w:p>
            <w:pPr>
              <w:jc w:val="center"/>
            </w:pPr>
            <w:r>
              <w:rPr>
                <w:b/>
                <w:bCs/>
                <w:color w:val="2B5F82"/>
              </w:rPr>
              <w:t xml:space="preserve">18</w:t>
            </w:r>
          </w:p>
        </w:tc>
        <w:tc>
          <w:tcPr>
            <w:tcW w:type="dxa" w:w="8100"/>
            <w:tcMar>
              <w:top w:type="dxa" w:w="100"/>
              <w:left w:type="dxa" w:w="160"/>
              <w:bottom w:type="dxa" w:w="100"/>
              <w:right w:type="dxa" w:w="120"/>
            </w:tcMar>
          </w:tcPr>
          <w:p>
            <w:r>
              <w:t xml:space="preserve">Transits</w:t>
            </w:r>
          </w:p>
        </w:tc>
      </w:tr>
      <w:tr>
        <w:tc>
          <w:tcPr>
            <w:tcW w:type="dxa" w:w="900"/>
            <w:shd w:fill="EAF1F6" w:val="clear"/>
            <w:tcMar>
              <w:top w:type="dxa" w:w="100"/>
              <w:left w:type="dxa" w:w="120"/>
              <w:bottom w:type="dxa" w:w="100"/>
              <w:right w:type="dxa" w:w="120"/>
            </w:tcMar>
          </w:tcPr>
          <w:p>
            <w:pPr>
              <w:jc w:val="center"/>
            </w:pPr>
            <w:r>
              <w:rPr>
                <w:b/>
                <w:bCs/>
                <w:color w:val="2B5F82"/>
              </w:rPr>
              <w:t xml:space="preserve">19</w:t>
            </w:r>
          </w:p>
        </w:tc>
        <w:tc>
          <w:tcPr>
            <w:tcW w:type="dxa" w:w="8100"/>
            <w:tcMar>
              <w:top w:type="dxa" w:w="100"/>
              <w:left w:type="dxa" w:w="160"/>
              <w:bottom w:type="dxa" w:w="100"/>
              <w:right w:type="dxa" w:w="120"/>
            </w:tcMar>
          </w:tcPr>
          <w:p>
            <w:r>
              <w:t xml:space="preserve">Atasyir, Directions, and Progressions</w:t>
            </w:r>
          </w:p>
        </w:tc>
      </w:tr>
    </w:tbl>
    <w:p/>
    <w:p>
      <w:pPr>
        <w:spacing w:after="60" w:before="320"/>
      </w:pPr>
      <w:r>
        <w:rPr>
          <w:b/>
          <w:bCs/>
          <w:color w:val="1C314A"/>
          <w:sz w:val="26"/>
          <w:szCs w:val="26"/>
        </w:rPr>
        <w:t xml:space="preserve">Part V — Applied Judgment</w:t>
      </w:r>
    </w:p>
    <w:p>
      <w:pPr>
        <w:spacing w:after="140"/>
      </w:pPr>
      <w:r>
        <w:rPr>
          <w:i/>
          <w:iCs/>
          <w:color w:val="5C6770"/>
          <w:sz w:val="20"/>
          <w:szCs w:val="20"/>
        </w:rPr>
        <w:t xml:space="preserve">Lessons 20–26</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20</w:t>
            </w:r>
          </w:p>
        </w:tc>
        <w:tc>
          <w:tcPr>
            <w:tcW w:type="dxa" w:w="8100"/>
            <w:tcMar>
              <w:top w:type="dxa" w:w="100"/>
              <w:left w:type="dxa" w:w="160"/>
              <w:bottom w:type="dxa" w:w="100"/>
              <w:right w:type="dxa" w:w="120"/>
            </w:tcMar>
          </w:tcPr>
          <w:p>
            <w:r>
              <w:t xml:space="preserve">Marriage and Alliances</w:t>
            </w:r>
          </w:p>
        </w:tc>
      </w:tr>
      <w:tr>
        <w:tc>
          <w:tcPr>
            <w:tcW w:type="dxa" w:w="900"/>
            <w:shd w:fill="EAF1F6" w:val="clear"/>
            <w:tcMar>
              <w:top w:type="dxa" w:w="100"/>
              <w:left w:type="dxa" w:w="120"/>
              <w:bottom w:type="dxa" w:w="100"/>
              <w:right w:type="dxa" w:w="120"/>
            </w:tcMar>
          </w:tcPr>
          <w:p>
            <w:pPr>
              <w:jc w:val="center"/>
            </w:pPr>
            <w:r>
              <w:rPr>
                <w:b/>
                <w:bCs/>
                <w:color w:val="2B5F82"/>
              </w:rPr>
              <w:t xml:space="preserve">21</w:t>
            </w:r>
          </w:p>
        </w:tc>
        <w:tc>
          <w:tcPr>
            <w:tcW w:type="dxa" w:w="8100"/>
            <w:tcMar>
              <w:top w:type="dxa" w:w="100"/>
              <w:left w:type="dxa" w:w="160"/>
              <w:bottom w:type="dxa" w:w="100"/>
              <w:right w:type="dxa" w:w="120"/>
            </w:tcMar>
          </w:tcPr>
          <w:p>
            <w:r>
              <w:t xml:space="preserve">Children and Fertility</w:t>
            </w:r>
          </w:p>
        </w:tc>
      </w:tr>
      <w:tr>
        <w:tc>
          <w:tcPr>
            <w:tcW w:type="dxa" w:w="900"/>
            <w:shd w:fill="EAF1F6" w:val="clear"/>
            <w:tcMar>
              <w:top w:type="dxa" w:w="100"/>
              <w:left w:type="dxa" w:w="120"/>
              <w:bottom w:type="dxa" w:w="100"/>
              <w:right w:type="dxa" w:w="120"/>
            </w:tcMar>
          </w:tcPr>
          <w:p>
            <w:pPr>
              <w:jc w:val="center"/>
            </w:pPr>
            <w:r>
              <w:rPr>
                <w:b/>
                <w:bCs/>
                <w:color w:val="2B5F82"/>
              </w:rPr>
              <w:t xml:space="preserve">22</w:t>
            </w:r>
          </w:p>
        </w:tc>
        <w:tc>
          <w:tcPr>
            <w:tcW w:type="dxa" w:w="8100"/>
            <w:tcMar>
              <w:top w:type="dxa" w:w="100"/>
              <w:left w:type="dxa" w:w="160"/>
              <w:bottom w:type="dxa" w:w="100"/>
              <w:right w:type="dxa" w:w="120"/>
            </w:tcMar>
          </w:tcPr>
          <w:p>
            <w:r>
              <w:t xml:space="preserve">Talent, Ingenuity, and Learning</w:t>
            </w:r>
          </w:p>
        </w:tc>
      </w:tr>
      <w:tr>
        <w:tc>
          <w:tcPr>
            <w:tcW w:type="dxa" w:w="900"/>
            <w:shd w:fill="EAF1F6" w:val="clear"/>
            <w:tcMar>
              <w:top w:type="dxa" w:w="100"/>
              <w:left w:type="dxa" w:w="120"/>
              <w:bottom w:type="dxa" w:w="100"/>
              <w:right w:type="dxa" w:w="120"/>
            </w:tcMar>
          </w:tcPr>
          <w:p>
            <w:pPr>
              <w:jc w:val="center"/>
            </w:pPr>
            <w:r>
              <w:rPr>
                <w:b/>
                <w:bCs/>
                <w:color w:val="2B5F82"/>
              </w:rPr>
              <w:t xml:space="preserve">23</w:t>
            </w:r>
          </w:p>
        </w:tc>
        <w:tc>
          <w:tcPr>
            <w:tcW w:type="dxa" w:w="8100"/>
            <w:tcMar>
              <w:top w:type="dxa" w:w="100"/>
              <w:left w:type="dxa" w:w="160"/>
              <w:bottom w:type="dxa" w:w="100"/>
              <w:right w:type="dxa" w:w="120"/>
            </w:tcMar>
          </w:tcPr>
          <w:p>
            <w:r>
              <w:t xml:space="preserve">Rank, Authority, and Reputation</w:t>
            </w:r>
          </w:p>
        </w:tc>
      </w:tr>
      <w:tr>
        <w:tc>
          <w:tcPr>
            <w:tcW w:type="dxa" w:w="900"/>
            <w:shd w:fill="EAF1F6" w:val="clear"/>
            <w:tcMar>
              <w:top w:type="dxa" w:w="100"/>
              <w:left w:type="dxa" w:w="120"/>
              <w:bottom w:type="dxa" w:w="100"/>
              <w:right w:type="dxa" w:w="120"/>
            </w:tcMar>
          </w:tcPr>
          <w:p>
            <w:pPr>
              <w:jc w:val="center"/>
            </w:pPr>
            <w:r>
              <w:rPr>
                <w:b/>
                <w:bCs/>
                <w:color w:val="2B5F82"/>
              </w:rPr>
              <w:t xml:space="preserve">24</w:t>
            </w:r>
          </w:p>
        </w:tc>
        <w:tc>
          <w:tcPr>
            <w:tcW w:type="dxa" w:w="8100"/>
            <w:tcMar>
              <w:top w:type="dxa" w:w="100"/>
              <w:left w:type="dxa" w:w="160"/>
              <w:bottom w:type="dxa" w:w="100"/>
              <w:right w:type="dxa" w:w="120"/>
            </w:tcMar>
          </w:tcPr>
          <w:p>
            <w:r>
              <w:t xml:space="preserve">Profession and Vocation</w:t>
            </w:r>
          </w:p>
        </w:tc>
      </w:tr>
      <w:tr>
        <w:tc>
          <w:tcPr>
            <w:tcW w:type="dxa" w:w="900"/>
            <w:shd w:fill="EAF1F6" w:val="clear"/>
            <w:tcMar>
              <w:top w:type="dxa" w:w="100"/>
              <w:left w:type="dxa" w:w="120"/>
              <w:bottom w:type="dxa" w:w="100"/>
              <w:right w:type="dxa" w:w="120"/>
            </w:tcMar>
          </w:tcPr>
          <w:p>
            <w:pPr>
              <w:jc w:val="center"/>
            </w:pPr>
            <w:r>
              <w:rPr>
                <w:b/>
                <w:bCs/>
                <w:color w:val="2B5F82"/>
              </w:rPr>
              <w:t xml:space="preserve">25</w:t>
            </w:r>
          </w:p>
        </w:tc>
        <w:tc>
          <w:tcPr>
            <w:tcW w:type="dxa" w:w="8100"/>
            <w:tcMar>
              <w:top w:type="dxa" w:w="100"/>
              <w:left w:type="dxa" w:w="160"/>
              <w:bottom w:type="dxa" w:w="100"/>
              <w:right w:type="dxa" w:w="120"/>
            </w:tcMar>
          </w:tcPr>
          <w:p>
            <w:r>
              <w:t xml:space="preserve">Fortune, Resources, and Prosperity</w:t>
            </w:r>
          </w:p>
        </w:tc>
      </w:tr>
      <w:tr>
        <w:tc>
          <w:tcPr>
            <w:tcW w:type="dxa" w:w="900"/>
            <w:shd w:fill="EAF1F6" w:val="clear"/>
            <w:tcMar>
              <w:top w:type="dxa" w:w="100"/>
              <w:left w:type="dxa" w:w="120"/>
              <w:bottom w:type="dxa" w:w="100"/>
              <w:right w:type="dxa" w:w="120"/>
            </w:tcMar>
          </w:tcPr>
          <w:p>
            <w:pPr>
              <w:jc w:val="center"/>
            </w:pPr>
            <w:r>
              <w:rPr>
                <w:b/>
                <w:bCs/>
                <w:color w:val="2B5F82"/>
              </w:rPr>
              <w:t xml:space="preserve">26</w:t>
            </w:r>
          </w:p>
        </w:tc>
        <w:tc>
          <w:tcPr>
            <w:tcW w:type="dxa" w:w="8100"/>
            <w:tcMar>
              <w:top w:type="dxa" w:w="100"/>
              <w:left w:type="dxa" w:w="160"/>
              <w:bottom w:type="dxa" w:w="100"/>
              <w:right w:type="dxa" w:w="120"/>
            </w:tcMar>
          </w:tcPr>
          <w:p>
            <w:r>
              <w:t xml:space="preserve">Cognition and the Purpose of the Consultation</w:t>
            </w:r>
          </w:p>
        </w:tc>
      </w:tr>
    </w:tbl>
    <w:p/>
    <w:sectPr>
      <w:headerReference w:type="default" r:id="rId7"/>
      <w:footerReference w:type="default" r:id="rId8"/>
      <w:pgSz w:w="12240" w:h="15840" w:orient="portrait"/>
      <w:pgMar w:top="1008" w:right="1123" w:bottom="1008" w:left="112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C6770"/>
        <w:sz w:val="18"/>
        <w:szCs w:val="18"/>
      </w:rPr>
      <w:t xml:space="preserve">Page </w:t>
    </w:r>
    <w:r>
      <w:rPr>
        <w:color w:val="5C677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4DC" w:sz="4"/>
      </w:pBdr>
      <w:jc w:val="right"/>
    </w:pPr>
    <w:r>
      <w:rPr>
        <w:color w:val="5C6770"/>
        <w:sz w:val="16"/>
        <w:szCs w:val="16"/>
      </w:rPr>
      <w:t xml:space="preserve">AETA · Complete Course in Traditional Astrology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2026-09-09T12:36:33.096Z</dcterms:created>
  <dcterms:modified xsi:type="dcterms:W3CDTF">2026-09-09T12:36:33.097Z</dcterms:modified>
</cp:coreProperties>
</file>

<file path=docProps/custom.xml><?xml version="1.0" encoding="utf-8"?>
<Properties xmlns="http://schemas.openxmlformats.org/officeDocument/2006/custom-properties" xmlns:vt="http://schemas.openxmlformats.org/officeDocument/2006/docPropsVTypes"/>
</file>