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center" w:tblpY="-288"/>
        <w:tblW w:w="11414" w:type="dxa"/>
        <w:tblLook w:val="04A0" w:firstRow="1" w:lastRow="0" w:firstColumn="1" w:lastColumn="0" w:noHBand="0" w:noVBand="1"/>
      </w:tblPr>
      <w:tblGrid>
        <w:gridCol w:w="11414"/>
      </w:tblGrid>
      <w:tr w:rsidR="00AE6104" w14:paraId="5562C0A3" w14:textId="77777777" w:rsidTr="00AE6104">
        <w:trPr>
          <w:trHeight w:val="3746"/>
        </w:trPr>
        <w:tc>
          <w:tcPr>
            <w:tcW w:w="11414" w:type="dxa"/>
          </w:tcPr>
          <w:p w14:paraId="49EE4891" w14:textId="77777777" w:rsidR="00AE6104" w:rsidRDefault="00AE6104" w:rsidP="00AE6104">
            <w:pPr>
              <w:spacing w:before="1600"/>
              <w:rPr>
                <w:sz w:val="24"/>
                <w:szCs w:val="24"/>
              </w:rPr>
            </w:pPr>
          </w:p>
        </w:tc>
      </w:tr>
    </w:tbl>
    <w:p w14:paraId="1EC35E6D" w14:textId="4042CF5C" w:rsidR="00A050EE" w:rsidRDefault="00AE6104">
      <w:pPr>
        <w:spacing w:before="1600"/>
        <w:rPr>
          <w:sz w:val="24"/>
          <w:szCs w:val="24"/>
        </w:rPr>
      </w:pPr>
      <w:r>
        <w:rPr>
          <w:noProof/>
          <w:sz w:val="24"/>
          <w:szCs w:val="24"/>
        </w:rPr>
        <w:lastRenderedPageBreak/>
        <w:drawing>
          <wp:inline distT="0" distB="0" distL="0" distR="0" wp14:anchorId="5E19C83F" wp14:editId="63942DA5">
            <wp:extent cx="6088380" cy="8407400"/>
            <wp:effectExtent l="0" t="0" r="7620" b="0"/>
            <wp:docPr id="1932298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298918" name="Picture 1932298918"/>
                    <pic:cNvPicPr/>
                  </pic:nvPicPr>
                  <pic:blipFill>
                    <a:blip r:embed="rId7">
                      <a:extLst>
                        <a:ext uri="{28A0092B-C50C-407E-A947-70E740481C1C}">
                          <a14:useLocalDpi xmlns:a14="http://schemas.microsoft.com/office/drawing/2010/main" val="0"/>
                        </a:ext>
                      </a:extLst>
                    </a:blip>
                    <a:stretch>
                      <a:fillRect/>
                    </a:stretch>
                  </pic:blipFill>
                  <pic:spPr>
                    <a:xfrm>
                      <a:off x="0" y="0"/>
                      <a:ext cx="6088380" cy="8407400"/>
                    </a:xfrm>
                    <a:prstGeom prst="rect">
                      <a:avLst/>
                    </a:prstGeom>
                  </pic:spPr>
                </pic:pic>
              </a:graphicData>
            </a:graphic>
          </wp:inline>
        </w:drawing>
      </w:r>
    </w:p>
    <w:p w14:paraId="7E6C9A16" w14:textId="77777777" w:rsidR="00AE6104" w:rsidRDefault="00AE6104">
      <w:pPr>
        <w:spacing w:before="1600"/>
        <w:rPr>
          <w:sz w:val="24"/>
          <w:szCs w:val="24"/>
        </w:rPr>
      </w:pPr>
    </w:p>
    <w:p w14:paraId="5191B4A3" w14:textId="77777777" w:rsidR="00AE6104" w:rsidRPr="00AE6104" w:rsidRDefault="00AE6104">
      <w:pPr>
        <w:spacing w:before="1600"/>
        <w:rPr>
          <w:sz w:val="24"/>
          <w:szCs w:val="24"/>
        </w:rPr>
      </w:pPr>
    </w:p>
    <w:p w14:paraId="480A4B19" w14:textId="77777777" w:rsidR="00A050EE" w:rsidRPr="00AE6104" w:rsidRDefault="00000000">
      <w:pPr>
        <w:spacing w:after="100"/>
        <w:jc w:val="center"/>
        <w:rPr>
          <w:sz w:val="24"/>
          <w:szCs w:val="24"/>
        </w:rPr>
      </w:pPr>
      <w:r w:rsidRPr="00AE6104">
        <w:rPr>
          <w:color w:val="B8860B"/>
          <w:sz w:val="32"/>
          <w:szCs w:val="32"/>
        </w:rPr>
        <w:t>🜁 🜂 🜄 🜃</w:t>
      </w:r>
    </w:p>
    <w:p w14:paraId="4DEFCD35" w14:textId="77777777" w:rsidR="00A050EE" w:rsidRPr="00AE6104" w:rsidRDefault="00000000">
      <w:pPr>
        <w:spacing w:before="300" w:after="200"/>
        <w:jc w:val="center"/>
        <w:rPr>
          <w:sz w:val="24"/>
          <w:szCs w:val="24"/>
        </w:rPr>
      </w:pPr>
      <w:r w:rsidRPr="00AE6104">
        <w:rPr>
          <w:b/>
          <w:bCs/>
          <w:color w:val="1B2A4A"/>
          <w:sz w:val="72"/>
          <w:szCs w:val="72"/>
        </w:rPr>
        <w:t>STARS OF DEBT AND DOMINION</w:t>
      </w:r>
    </w:p>
    <w:p w14:paraId="03A03CE7" w14:textId="77777777" w:rsidR="00A050EE" w:rsidRPr="00AE6104" w:rsidRDefault="00000000">
      <w:pPr>
        <w:spacing w:after="400"/>
        <w:jc w:val="center"/>
        <w:rPr>
          <w:sz w:val="24"/>
          <w:szCs w:val="24"/>
        </w:rPr>
      </w:pPr>
      <w:r w:rsidRPr="00AE6104">
        <w:rPr>
          <w:i/>
          <w:iCs/>
          <w:color w:val="8B6914"/>
          <w:sz w:val="32"/>
          <w:szCs w:val="32"/>
        </w:rPr>
        <w:t>Raziel Magus's Astrological and Economic Forecast for the United States in 2027</w:t>
      </w:r>
    </w:p>
    <w:p w14:paraId="354D2ACF" w14:textId="77777777" w:rsidR="00A050EE" w:rsidRPr="00AE6104" w:rsidRDefault="00000000">
      <w:pPr>
        <w:spacing w:after="100"/>
        <w:jc w:val="center"/>
        <w:rPr>
          <w:sz w:val="24"/>
          <w:szCs w:val="24"/>
        </w:rPr>
      </w:pPr>
      <w:r w:rsidRPr="00AE6104">
        <w:rPr>
          <w:b/>
          <w:bCs/>
          <w:sz w:val="28"/>
          <w:szCs w:val="28"/>
        </w:rPr>
        <w:t>CONSTRAINT, REPRICING, AND ECONOMIC ROTATION</w:t>
      </w:r>
    </w:p>
    <w:p w14:paraId="6C700636" w14:textId="77777777" w:rsidR="00A050EE" w:rsidRPr="00AE6104" w:rsidRDefault="00000000">
      <w:pPr>
        <w:spacing w:before="600" w:after="60"/>
        <w:jc w:val="center"/>
        <w:rPr>
          <w:sz w:val="24"/>
          <w:szCs w:val="24"/>
        </w:rPr>
      </w:pPr>
      <w:r w:rsidRPr="00AE6104">
        <w:rPr>
          <w:b/>
          <w:bCs/>
          <w:color w:val="1B2A4A"/>
          <w:sz w:val="28"/>
          <w:szCs w:val="28"/>
        </w:rPr>
        <w:t>RAZIEL MAGUS</w:t>
      </w:r>
    </w:p>
    <w:p w14:paraId="20AB3C9B" w14:textId="77777777" w:rsidR="00A050EE" w:rsidRPr="00AE6104" w:rsidRDefault="00000000">
      <w:pPr>
        <w:spacing w:after="30"/>
        <w:jc w:val="center"/>
        <w:rPr>
          <w:sz w:val="24"/>
          <w:szCs w:val="24"/>
        </w:rPr>
      </w:pPr>
      <w:r w:rsidRPr="00AE6104">
        <w:rPr>
          <w:color w:val="8B6914"/>
        </w:rPr>
        <w:t>razielmagus.com</w:t>
      </w:r>
    </w:p>
    <w:p w14:paraId="6440CADE" w14:textId="77777777" w:rsidR="00A050EE" w:rsidRPr="00AE6104" w:rsidRDefault="00000000">
      <w:pPr>
        <w:spacing w:after="800"/>
        <w:jc w:val="center"/>
        <w:rPr>
          <w:sz w:val="24"/>
          <w:szCs w:val="24"/>
        </w:rPr>
      </w:pPr>
      <w:r w:rsidRPr="00AE6104">
        <w:rPr>
          <w:i/>
          <w:iCs/>
        </w:rPr>
        <w:t>Prepared September 11, 2026</w:t>
      </w:r>
    </w:p>
    <w:p w14:paraId="24B38835" w14:textId="77777777" w:rsidR="00A050EE" w:rsidRPr="00AE6104" w:rsidRDefault="00000000">
      <w:pPr>
        <w:jc w:val="center"/>
        <w:rPr>
          <w:sz w:val="24"/>
          <w:szCs w:val="24"/>
        </w:rPr>
      </w:pPr>
      <w:r w:rsidRPr="00AE6104">
        <w:rPr>
          <w:color w:val="B8860B"/>
          <w:sz w:val="32"/>
          <w:szCs w:val="32"/>
        </w:rPr>
        <w:t>🜁 🜂 🜄 🜃</w:t>
      </w:r>
    </w:p>
    <w:p w14:paraId="167D1FC4" w14:textId="77777777" w:rsidR="00A050EE" w:rsidRPr="00AE6104" w:rsidRDefault="00000000">
      <w:pPr>
        <w:rPr>
          <w:sz w:val="24"/>
          <w:szCs w:val="24"/>
        </w:rPr>
      </w:pPr>
      <w:r w:rsidRPr="00AE6104">
        <w:rPr>
          <w:sz w:val="24"/>
          <w:szCs w:val="24"/>
        </w:rPr>
        <w:br w:type="page"/>
      </w:r>
    </w:p>
    <w:p w14:paraId="593852C1" w14:textId="77777777" w:rsidR="00A050EE" w:rsidRPr="00AE6104" w:rsidRDefault="00000000">
      <w:pPr>
        <w:pStyle w:val="Heading2"/>
        <w:spacing w:before="360" w:after="140"/>
        <w:rPr>
          <w:sz w:val="28"/>
          <w:szCs w:val="28"/>
        </w:rPr>
      </w:pPr>
      <w:r w:rsidRPr="00AE6104">
        <w:rPr>
          <w:b/>
          <w:bCs/>
          <w:color w:val="1B2A4A"/>
          <w:sz w:val="28"/>
          <w:szCs w:val="28"/>
        </w:rPr>
        <w:lastRenderedPageBreak/>
        <w:t>A Word Before the Chart</w:t>
      </w:r>
    </w:p>
    <w:p w14:paraId="60CBAAED" w14:textId="77777777" w:rsidR="00A050EE" w:rsidRPr="00AE6104" w:rsidRDefault="00000000">
      <w:pPr>
        <w:spacing w:after="160" w:line="300" w:lineRule="auto"/>
        <w:jc w:val="both"/>
        <w:rPr>
          <w:sz w:val="24"/>
          <w:szCs w:val="24"/>
        </w:rPr>
      </w:pPr>
      <w:r w:rsidRPr="00AE6104">
        <w:rPr>
          <w:sz w:val="24"/>
          <w:szCs w:val="24"/>
        </w:rPr>
        <w:t>This forecast combines the annual patterns cast for 2026 and 2027 with current economic, fiscal, monetary, political, and geopolitical conditions. The symbolic material is treated as a scenario and timing framework, not as scientific evidence and not as a substitute for licensed financial analysis. Nothing in this document is investment, legal, or tax advice. Readers should consult qualified professionals before acting on any conclusion drawn here.</w:t>
      </w:r>
    </w:p>
    <w:p w14:paraId="006926C2" w14:textId="77777777" w:rsidR="00A050EE" w:rsidRPr="00AE6104" w:rsidRDefault="00000000">
      <w:pPr>
        <w:spacing w:after="160" w:line="300" w:lineRule="auto"/>
        <w:jc w:val="both"/>
        <w:rPr>
          <w:sz w:val="24"/>
          <w:szCs w:val="24"/>
        </w:rPr>
      </w:pPr>
      <w:r w:rsidRPr="00AE6104">
        <w:rPr>
          <w:sz w:val="24"/>
          <w:szCs w:val="24"/>
        </w:rPr>
        <w:t>My central judgment is stated plainly, then defended layer by layer through the sections that follow:</w:t>
      </w:r>
    </w:p>
    <w:p w14:paraId="5D00A017" w14:textId="77777777" w:rsidR="00A050EE" w:rsidRPr="00AE6104" w:rsidRDefault="00000000">
      <w:pPr>
        <w:pBdr>
          <w:left w:val="single" w:sz="18" w:space="10" w:color="B8860B"/>
        </w:pBdr>
        <w:shd w:val="clear" w:color="auto" w:fill="F5F0E8"/>
        <w:spacing w:before="200" w:after="240" w:line="300" w:lineRule="auto"/>
        <w:ind w:left="500" w:right="500"/>
        <w:rPr>
          <w:sz w:val="24"/>
          <w:szCs w:val="24"/>
        </w:rPr>
      </w:pPr>
      <w:r w:rsidRPr="00AE6104">
        <w:rPr>
          <w:b/>
          <w:bCs/>
          <w:i/>
          <w:iCs/>
          <w:color w:val="1B2A4A"/>
          <w:sz w:val="24"/>
          <w:szCs w:val="24"/>
        </w:rPr>
        <w:t>2027 is more likely to be a year of financial constraint, market repricing, political resistance, and economic rotation than either a prosperous boom or a systemic collapse.</w:t>
      </w:r>
    </w:p>
    <w:p w14:paraId="7C0A745C" w14:textId="77777777" w:rsidR="00A050EE" w:rsidRPr="00AE6104" w:rsidRDefault="00000000">
      <w:pPr>
        <w:spacing w:after="160" w:line="300" w:lineRule="auto"/>
        <w:jc w:val="both"/>
        <w:rPr>
          <w:sz w:val="24"/>
          <w:szCs w:val="24"/>
        </w:rPr>
      </w:pPr>
      <w:r w:rsidRPr="00AE6104">
        <w:rPr>
          <w:sz w:val="24"/>
          <w:szCs w:val="24"/>
        </w:rPr>
        <w:t>The United States probably avoids a 2008-style crisis, but investors and households should expect a less forgiving environment. Capital will remain available, although it will become more selective, more expensive, and more concentrated in companies and industries that can demonstrate actual cash flow, strategic importance, or government support.</w:t>
      </w:r>
    </w:p>
    <w:p w14:paraId="381EEC20" w14:textId="77777777" w:rsidR="00A050EE" w:rsidRPr="00AE6104" w:rsidRDefault="00000000">
      <w:pPr>
        <w:pStyle w:val="Heading1"/>
        <w:pBdr>
          <w:bottom w:val="single" w:sz="8" w:space="4" w:color="B8860B"/>
        </w:pBdr>
        <w:spacing w:before="480" w:after="200"/>
        <w:rPr>
          <w:sz w:val="36"/>
          <w:szCs w:val="36"/>
        </w:rPr>
      </w:pPr>
      <w:r w:rsidRPr="00AE6104">
        <w:rPr>
          <w:b/>
          <w:bCs/>
          <w:color w:val="1B2A4A"/>
        </w:rPr>
        <w:t>EXECUTIVE CONCLUSIONS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1400"/>
        <w:gridCol w:w="4000"/>
      </w:tblGrid>
      <w:tr w:rsidR="00A050EE" w:rsidRPr="00AE6104" w14:paraId="65EB2B25" w14:textId="77777777">
        <w:tblPrEx>
          <w:tblCellMar>
            <w:top w:w="0" w:type="dxa"/>
            <w:bottom w:w="0" w:type="dxa"/>
          </w:tblCellMar>
        </w:tblPrEx>
        <w:trPr>
          <w:tblHeader/>
        </w:trPr>
        <w:tc>
          <w:tcPr>
            <w:tcW w:w="4000" w:type="dxa"/>
            <w:shd w:val="clear" w:color="auto" w:fill="1B2A4A"/>
            <w:tcMar>
              <w:top w:w="100" w:type="dxa"/>
              <w:left w:w="120" w:type="dxa"/>
              <w:bottom w:w="100" w:type="dxa"/>
              <w:right w:w="120" w:type="dxa"/>
            </w:tcMar>
            <w:vAlign w:val="center"/>
          </w:tcPr>
          <w:p w14:paraId="15556776" w14:textId="77777777" w:rsidR="00A050EE" w:rsidRPr="00AE6104" w:rsidRDefault="00000000">
            <w:pPr>
              <w:rPr>
                <w:sz w:val="24"/>
                <w:szCs w:val="24"/>
              </w:rPr>
            </w:pPr>
            <w:r w:rsidRPr="00AE6104">
              <w:rPr>
                <w:b/>
                <w:bCs/>
                <w:color w:val="FFFFFF"/>
              </w:rPr>
              <w:t>Forecast</w:t>
            </w:r>
          </w:p>
        </w:tc>
        <w:tc>
          <w:tcPr>
            <w:tcW w:w="1400" w:type="dxa"/>
            <w:shd w:val="clear" w:color="auto" w:fill="1B2A4A"/>
            <w:tcMar>
              <w:top w:w="100" w:type="dxa"/>
              <w:left w:w="120" w:type="dxa"/>
              <w:bottom w:w="100" w:type="dxa"/>
              <w:right w:w="120" w:type="dxa"/>
            </w:tcMar>
            <w:vAlign w:val="center"/>
          </w:tcPr>
          <w:p w14:paraId="086ED98F" w14:textId="77777777" w:rsidR="00A050EE" w:rsidRPr="00AE6104" w:rsidRDefault="00000000">
            <w:pPr>
              <w:rPr>
                <w:sz w:val="24"/>
                <w:szCs w:val="24"/>
              </w:rPr>
            </w:pPr>
            <w:r w:rsidRPr="00AE6104">
              <w:rPr>
                <w:b/>
                <w:bCs/>
                <w:color w:val="FFFFFF"/>
              </w:rPr>
              <w:t>Confidence</w:t>
            </w:r>
          </w:p>
        </w:tc>
        <w:tc>
          <w:tcPr>
            <w:tcW w:w="4000" w:type="dxa"/>
            <w:shd w:val="clear" w:color="auto" w:fill="1B2A4A"/>
            <w:tcMar>
              <w:top w:w="100" w:type="dxa"/>
              <w:left w:w="120" w:type="dxa"/>
              <w:bottom w:w="100" w:type="dxa"/>
              <w:right w:w="120" w:type="dxa"/>
            </w:tcMar>
            <w:vAlign w:val="center"/>
          </w:tcPr>
          <w:p w14:paraId="1F9D0590" w14:textId="77777777" w:rsidR="00A050EE" w:rsidRPr="00AE6104" w:rsidRDefault="00000000">
            <w:pPr>
              <w:rPr>
                <w:sz w:val="24"/>
                <w:szCs w:val="24"/>
              </w:rPr>
            </w:pPr>
            <w:r w:rsidRPr="00AE6104">
              <w:rPr>
                <w:b/>
                <w:bCs/>
                <w:color w:val="FFFFFF"/>
              </w:rPr>
              <w:t>Central Judgment</w:t>
            </w:r>
          </w:p>
        </w:tc>
      </w:tr>
      <w:tr w:rsidR="00A050EE" w:rsidRPr="00AE6104" w14:paraId="326AEF04" w14:textId="77777777">
        <w:tblPrEx>
          <w:tblCellMar>
            <w:top w:w="0" w:type="dxa"/>
            <w:bottom w:w="0" w:type="dxa"/>
          </w:tblCellMar>
        </w:tblPrEx>
        <w:tc>
          <w:tcPr>
            <w:tcW w:w="4000" w:type="dxa"/>
            <w:tcMar>
              <w:top w:w="100" w:type="dxa"/>
              <w:left w:w="120" w:type="dxa"/>
              <w:bottom w:w="100" w:type="dxa"/>
              <w:right w:w="120" w:type="dxa"/>
            </w:tcMar>
            <w:vAlign w:val="center"/>
          </w:tcPr>
          <w:p w14:paraId="09E30F60" w14:textId="77777777" w:rsidR="00A050EE" w:rsidRPr="00AE6104" w:rsidRDefault="00000000">
            <w:pPr>
              <w:rPr>
                <w:sz w:val="24"/>
                <w:szCs w:val="24"/>
              </w:rPr>
            </w:pPr>
            <w:r w:rsidRPr="00AE6104">
              <w:t>Federal debt and interest costs become a larger market issue</w:t>
            </w:r>
          </w:p>
        </w:tc>
        <w:tc>
          <w:tcPr>
            <w:tcW w:w="1400" w:type="dxa"/>
            <w:tcMar>
              <w:top w:w="100" w:type="dxa"/>
              <w:left w:w="120" w:type="dxa"/>
              <w:bottom w:w="100" w:type="dxa"/>
              <w:right w:w="120" w:type="dxa"/>
            </w:tcMar>
            <w:vAlign w:val="center"/>
          </w:tcPr>
          <w:p w14:paraId="66D17CB0" w14:textId="77777777" w:rsidR="00A050EE" w:rsidRPr="00AE6104" w:rsidRDefault="00000000">
            <w:pPr>
              <w:rPr>
                <w:sz w:val="24"/>
                <w:szCs w:val="24"/>
              </w:rPr>
            </w:pPr>
            <w:r w:rsidRPr="00AE6104">
              <w:t>High</w:t>
            </w:r>
          </w:p>
        </w:tc>
        <w:tc>
          <w:tcPr>
            <w:tcW w:w="4000" w:type="dxa"/>
            <w:tcMar>
              <w:top w:w="100" w:type="dxa"/>
              <w:left w:w="120" w:type="dxa"/>
              <w:bottom w:w="100" w:type="dxa"/>
              <w:right w:w="120" w:type="dxa"/>
            </w:tcMar>
            <w:vAlign w:val="center"/>
          </w:tcPr>
          <w:p w14:paraId="0DA9493A" w14:textId="77777777" w:rsidR="00A050EE" w:rsidRPr="00AE6104" w:rsidRDefault="00000000">
            <w:pPr>
              <w:rPr>
                <w:sz w:val="24"/>
                <w:szCs w:val="24"/>
              </w:rPr>
            </w:pPr>
            <w:r w:rsidRPr="00AE6104">
              <w:t>Treasury financing will increasingly influence rates, regulation, taxation, and monetary policy</w:t>
            </w:r>
          </w:p>
        </w:tc>
      </w:tr>
      <w:tr w:rsidR="00A050EE" w:rsidRPr="00AE6104" w14:paraId="48F1B7EE" w14:textId="77777777">
        <w:tblPrEx>
          <w:tblCellMar>
            <w:top w:w="0" w:type="dxa"/>
            <w:bottom w:w="0" w:type="dxa"/>
          </w:tblCellMar>
        </w:tblPrEx>
        <w:tc>
          <w:tcPr>
            <w:tcW w:w="4000" w:type="dxa"/>
            <w:shd w:val="clear" w:color="auto" w:fill="F5F0E8"/>
            <w:tcMar>
              <w:top w:w="100" w:type="dxa"/>
              <w:left w:w="120" w:type="dxa"/>
              <w:bottom w:w="100" w:type="dxa"/>
              <w:right w:w="120" w:type="dxa"/>
            </w:tcMar>
            <w:vAlign w:val="center"/>
          </w:tcPr>
          <w:p w14:paraId="4B604817" w14:textId="77777777" w:rsidR="00A050EE" w:rsidRPr="00AE6104" w:rsidRDefault="00000000">
            <w:pPr>
              <w:rPr>
                <w:sz w:val="24"/>
                <w:szCs w:val="24"/>
              </w:rPr>
            </w:pPr>
            <w:r w:rsidRPr="00AE6104">
              <w:t>Inflation remains troublesome enough to constrain the Federal Reserve</w:t>
            </w:r>
          </w:p>
        </w:tc>
        <w:tc>
          <w:tcPr>
            <w:tcW w:w="1400" w:type="dxa"/>
            <w:shd w:val="clear" w:color="auto" w:fill="F5F0E8"/>
            <w:tcMar>
              <w:top w:w="100" w:type="dxa"/>
              <w:left w:w="120" w:type="dxa"/>
              <w:bottom w:w="100" w:type="dxa"/>
              <w:right w:w="120" w:type="dxa"/>
            </w:tcMar>
            <w:vAlign w:val="center"/>
          </w:tcPr>
          <w:p w14:paraId="47BA79D0" w14:textId="77777777" w:rsidR="00A050EE" w:rsidRPr="00AE6104" w:rsidRDefault="00000000">
            <w:pPr>
              <w:rPr>
                <w:sz w:val="24"/>
                <w:szCs w:val="24"/>
              </w:rPr>
            </w:pPr>
            <w:r w:rsidRPr="00AE6104">
              <w:t>High</w:t>
            </w:r>
          </w:p>
        </w:tc>
        <w:tc>
          <w:tcPr>
            <w:tcW w:w="4000" w:type="dxa"/>
            <w:shd w:val="clear" w:color="auto" w:fill="F5F0E8"/>
            <w:tcMar>
              <w:top w:w="100" w:type="dxa"/>
              <w:left w:w="120" w:type="dxa"/>
              <w:bottom w:w="100" w:type="dxa"/>
              <w:right w:w="120" w:type="dxa"/>
            </w:tcMar>
            <w:vAlign w:val="center"/>
          </w:tcPr>
          <w:p w14:paraId="57E00A23" w14:textId="77777777" w:rsidR="00A050EE" w:rsidRPr="00AE6104" w:rsidRDefault="00000000">
            <w:pPr>
              <w:rPr>
                <w:sz w:val="24"/>
                <w:szCs w:val="24"/>
              </w:rPr>
            </w:pPr>
            <w:r w:rsidRPr="00AE6104">
              <w:t>The Fed will not have complete freedom to rescue markets with aggressive rate cuts</w:t>
            </w:r>
          </w:p>
        </w:tc>
      </w:tr>
      <w:tr w:rsidR="00A050EE" w:rsidRPr="00AE6104" w14:paraId="70850C87" w14:textId="77777777">
        <w:tblPrEx>
          <w:tblCellMar>
            <w:top w:w="0" w:type="dxa"/>
            <w:bottom w:w="0" w:type="dxa"/>
          </w:tblCellMar>
        </w:tblPrEx>
        <w:tc>
          <w:tcPr>
            <w:tcW w:w="4000" w:type="dxa"/>
            <w:tcMar>
              <w:top w:w="100" w:type="dxa"/>
              <w:left w:w="120" w:type="dxa"/>
              <w:bottom w:w="100" w:type="dxa"/>
              <w:right w:w="120" w:type="dxa"/>
            </w:tcMar>
            <w:vAlign w:val="center"/>
          </w:tcPr>
          <w:p w14:paraId="7C2A0FC8" w14:textId="77777777" w:rsidR="00A050EE" w:rsidRPr="00AE6104" w:rsidRDefault="00000000">
            <w:pPr>
              <w:rPr>
                <w:sz w:val="24"/>
                <w:szCs w:val="24"/>
              </w:rPr>
            </w:pPr>
            <w:r w:rsidRPr="00AE6104">
              <w:t>Economic growth continues but becomes slower and more uneven</w:t>
            </w:r>
          </w:p>
        </w:tc>
        <w:tc>
          <w:tcPr>
            <w:tcW w:w="1400" w:type="dxa"/>
            <w:tcMar>
              <w:top w:w="100" w:type="dxa"/>
              <w:left w:w="120" w:type="dxa"/>
              <w:bottom w:w="100" w:type="dxa"/>
              <w:right w:w="120" w:type="dxa"/>
            </w:tcMar>
            <w:vAlign w:val="center"/>
          </w:tcPr>
          <w:p w14:paraId="74AC6231" w14:textId="77777777" w:rsidR="00A050EE" w:rsidRPr="00AE6104" w:rsidRDefault="00000000">
            <w:pPr>
              <w:rPr>
                <w:sz w:val="24"/>
                <w:szCs w:val="24"/>
              </w:rPr>
            </w:pPr>
            <w:r w:rsidRPr="00AE6104">
              <w:t>High</w:t>
            </w:r>
          </w:p>
        </w:tc>
        <w:tc>
          <w:tcPr>
            <w:tcW w:w="4000" w:type="dxa"/>
            <w:tcMar>
              <w:top w:w="100" w:type="dxa"/>
              <w:left w:w="120" w:type="dxa"/>
              <w:bottom w:w="100" w:type="dxa"/>
              <w:right w:w="120" w:type="dxa"/>
            </w:tcMar>
            <w:vAlign w:val="center"/>
          </w:tcPr>
          <w:p w14:paraId="143FD96E" w14:textId="77777777" w:rsidR="00A050EE" w:rsidRPr="00AE6104" w:rsidRDefault="00000000">
            <w:pPr>
              <w:rPr>
                <w:sz w:val="24"/>
                <w:szCs w:val="24"/>
              </w:rPr>
            </w:pPr>
            <w:r w:rsidRPr="00AE6104">
              <w:t>A rolling slowdown is more likely than a deep national depression</w:t>
            </w:r>
          </w:p>
        </w:tc>
      </w:tr>
      <w:tr w:rsidR="00A050EE" w:rsidRPr="00AE6104" w14:paraId="701DADC4" w14:textId="77777777">
        <w:tblPrEx>
          <w:tblCellMar>
            <w:top w:w="0" w:type="dxa"/>
            <w:bottom w:w="0" w:type="dxa"/>
          </w:tblCellMar>
        </w:tblPrEx>
        <w:tc>
          <w:tcPr>
            <w:tcW w:w="4000" w:type="dxa"/>
            <w:shd w:val="clear" w:color="auto" w:fill="F5F0E8"/>
            <w:tcMar>
              <w:top w:w="100" w:type="dxa"/>
              <w:left w:w="120" w:type="dxa"/>
              <w:bottom w:w="100" w:type="dxa"/>
              <w:right w:w="120" w:type="dxa"/>
            </w:tcMar>
            <w:vAlign w:val="center"/>
          </w:tcPr>
          <w:p w14:paraId="3B3E8065" w14:textId="77777777" w:rsidR="00A050EE" w:rsidRPr="00AE6104" w:rsidRDefault="00000000">
            <w:pPr>
              <w:rPr>
                <w:sz w:val="24"/>
                <w:szCs w:val="24"/>
              </w:rPr>
            </w:pPr>
            <w:r w:rsidRPr="00AE6104">
              <w:t>AI investment continues, but speculative AI valuations undergo a shakeout</w:t>
            </w:r>
          </w:p>
        </w:tc>
        <w:tc>
          <w:tcPr>
            <w:tcW w:w="1400" w:type="dxa"/>
            <w:shd w:val="clear" w:color="auto" w:fill="F5F0E8"/>
            <w:tcMar>
              <w:top w:w="100" w:type="dxa"/>
              <w:left w:w="120" w:type="dxa"/>
              <w:bottom w:w="100" w:type="dxa"/>
              <w:right w:w="120" w:type="dxa"/>
            </w:tcMar>
            <w:vAlign w:val="center"/>
          </w:tcPr>
          <w:p w14:paraId="67D06527" w14:textId="77777777" w:rsidR="00A050EE" w:rsidRPr="00AE6104" w:rsidRDefault="00000000">
            <w:pPr>
              <w:rPr>
                <w:sz w:val="24"/>
                <w:szCs w:val="24"/>
              </w:rPr>
            </w:pPr>
            <w:r w:rsidRPr="00AE6104">
              <w:t>High</w:t>
            </w:r>
          </w:p>
        </w:tc>
        <w:tc>
          <w:tcPr>
            <w:tcW w:w="4000" w:type="dxa"/>
            <w:shd w:val="clear" w:color="auto" w:fill="F5F0E8"/>
            <w:tcMar>
              <w:top w:w="100" w:type="dxa"/>
              <w:left w:w="120" w:type="dxa"/>
              <w:bottom w:w="100" w:type="dxa"/>
              <w:right w:w="120" w:type="dxa"/>
            </w:tcMar>
            <w:vAlign w:val="center"/>
          </w:tcPr>
          <w:p w14:paraId="40C5676E" w14:textId="77777777" w:rsidR="00A050EE" w:rsidRPr="00AE6104" w:rsidRDefault="00000000">
            <w:pPr>
              <w:rPr>
                <w:sz w:val="24"/>
                <w:szCs w:val="24"/>
              </w:rPr>
            </w:pPr>
            <w:r w:rsidRPr="00AE6104">
              <w:t>The AI economy survives; many AI-related investments do not</w:t>
            </w:r>
          </w:p>
        </w:tc>
      </w:tr>
      <w:tr w:rsidR="00A050EE" w:rsidRPr="00AE6104" w14:paraId="45BB8156" w14:textId="77777777">
        <w:tblPrEx>
          <w:tblCellMar>
            <w:top w:w="0" w:type="dxa"/>
            <w:bottom w:w="0" w:type="dxa"/>
          </w:tblCellMar>
        </w:tblPrEx>
        <w:tc>
          <w:tcPr>
            <w:tcW w:w="4000" w:type="dxa"/>
            <w:tcMar>
              <w:top w:w="100" w:type="dxa"/>
              <w:left w:w="120" w:type="dxa"/>
              <w:bottom w:w="100" w:type="dxa"/>
              <w:right w:w="120" w:type="dxa"/>
            </w:tcMar>
            <w:vAlign w:val="center"/>
          </w:tcPr>
          <w:p w14:paraId="3DA02AFE" w14:textId="77777777" w:rsidR="00A050EE" w:rsidRPr="00AE6104" w:rsidRDefault="00000000">
            <w:pPr>
              <w:rPr>
                <w:sz w:val="24"/>
                <w:szCs w:val="24"/>
              </w:rPr>
            </w:pPr>
            <w:r w:rsidRPr="00AE6104">
              <w:t>The stock market experiences at least one correction of roughly 10% to 20%</w:t>
            </w:r>
          </w:p>
        </w:tc>
        <w:tc>
          <w:tcPr>
            <w:tcW w:w="1400" w:type="dxa"/>
            <w:tcMar>
              <w:top w:w="100" w:type="dxa"/>
              <w:left w:w="120" w:type="dxa"/>
              <w:bottom w:w="100" w:type="dxa"/>
              <w:right w:w="120" w:type="dxa"/>
            </w:tcMar>
            <w:vAlign w:val="center"/>
          </w:tcPr>
          <w:p w14:paraId="449E369A" w14:textId="77777777" w:rsidR="00A050EE" w:rsidRPr="00AE6104" w:rsidRDefault="00000000">
            <w:pPr>
              <w:rPr>
                <w:sz w:val="24"/>
                <w:szCs w:val="24"/>
              </w:rPr>
            </w:pPr>
            <w:r w:rsidRPr="00AE6104">
              <w:t>Moderately high</w:t>
            </w:r>
          </w:p>
        </w:tc>
        <w:tc>
          <w:tcPr>
            <w:tcW w:w="4000" w:type="dxa"/>
            <w:tcMar>
              <w:top w:w="100" w:type="dxa"/>
              <w:left w:w="120" w:type="dxa"/>
              <w:bottom w:w="100" w:type="dxa"/>
              <w:right w:w="120" w:type="dxa"/>
            </w:tcMar>
            <w:vAlign w:val="center"/>
          </w:tcPr>
          <w:p w14:paraId="04A1941B" w14:textId="77777777" w:rsidR="00A050EE" w:rsidRPr="00AE6104" w:rsidRDefault="00000000">
            <w:pPr>
              <w:rPr>
                <w:sz w:val="24"/>
                <w:szCs w:val="24"/>
              </w:rPr>
            </w:pPr>
            <w:r w:rsidRPr="00AE6104">
              <w:t>Technology and leveraged growth companies are most exposed</w:t>
            </w:r>
          </w:p>
        </w:tc>
      </w:tr>
      <w:tr w:rsidR="00A050EE" w:rsidRPr="00AE6104" w14:paraId="3986FCB4" w14:textId="77777777">
        <w:tblPrEx>
          <w:tblCellMar>
            <w:top w:w="0" w:type="dxa"/>
            <w:bottom w:w="0" w:type="dxa"/>
          </w:tblCellMar>
        </w:tblPrEx>
        <w:tc>
          <w:tcPr>
            <w:tcW w:w="4000" w:type="dxa"/>
            <w:shd w:val="clear" w:color="auto" w:fill="F5F0E8"/>
            <w:tcMar>
              <w:top w:w="100" w:type="dxa"/>
              <w:left w:w="120" w:type="dxa"/>
              <w:bottom w:w="100" w:type="dxa"/>
              <w:right w:w="120" w:type="dxa"/>
            </w:tcMar>
            <w:vAlign w:val="center"/>
          </w:tcPr>
          <w:p w14:paraId="455D9C8E" w14:textId="77777777" w:rsidR="00A050EE" w:rsidRPr="00AE6104" w:rsidRDefault="00000000">
            <w:pPr>
              <w:rPr>
                <w:sz w:val="24"/>
                <w:szCs w:val="24"/>
              </w:rPr>
            </w:pPr>
            <w:r w:rsidRPr="00AE6104">
              <w:t>No direct government confiscation of 401(k) accounts</w:t>
            </w:r>
          </w:p>
        </w:tc>
        <w:tc>
          <w:tcPr>
            <w:tcW w:w="1400" w:type="dxa"/>
            <w:shd w:val="clear" w:color="auto" w:fill="F5F0E8"/>
            <w:tcMar>
              <w:top w:w="100" w:type="dxa"/>
              <w:left w:w="120" w:type="dxa"/>
              <w:bottom w:w="100" w:type="dxa"/>
              <w:right w:w="120" w:type="dxa"/>
            </w:tcMar>
            <w:vAlign w:val="center"/>
          </w:tcPr>
          <w:p w14:paraId="334BC509" w14:textId="77777777" w:rsidR="00A050EE" w:rsidRPr="00AE6104" w:rsidRDefault="00000000">
            <w:pPr>
              <w:rPr>
                <w:sz w:val="24"/>
                <w:szCs w:val="24"/>
              </w:rPr>
            </w:pPr>
            <w:r w:rsidRPr="00AE6104">
              <w:t>High</w:t>
            </w:r>
          </w:p>
        </w:tc>
        <w:tc>
          <w:tcPr>
            <w:tcW w:w="4000" w:type="dxa"/>
            <w:shd w:val="clear" w:color="auto" w:fill="F5F0E8"/>
            <w:tcMar>
              <w:top w:w="100" w:type="dxa"/>
              <w:left w:w="120" w:type="dxa"/>
              <w:bottom w:w="100" w:type="dxa"/>
              <w:right w:w="120" w:type="dxa"/>
            </w:tcMar>
            <w:vAlign w:val="center"/>
          </w:tcPr>
          <w:p w14:paraId="7CD2AEC0" w14:textId="77777777" w:rsidR="00A050EE" w:rsidRPr="00AE6104" w:rsidRDefault="00000000">
            <w:pPr>
              <w:rPr>
                <w:sz w:val="24"/>
                <w:szCs w:val="24"/>
              </w:rPr>
            </w:pPr>
            <w:r w:rsidRPr="00AE6104">
              <w:t>The principal risks are market losses, inflation, and withdrawals during weakness</w:t>
            </w:r>
          </w:p>
        </w:tc>
      </w:tr>
      <w:tr w:rsidR="00A050EE" w:rsidRPr="00AE6104" w14:paraId="04FBE6CC" w14:textId="77777777">
        <w:tblPrEx>
          <w:tblCellMar>
            <w:top w:w="0" w:type="dxa"/>
            <w:bottom w:w="0" w:type="dxa"/>
          </w:tblCellMar>
        </w:tblPrEx>
        <w:tc>
          <w:tcPr>
            <w:tcW w:w="4000" w:type="dxa"/>
            <w:tcMar>
              <w:top w:w="100" w:type="dxa"/>
              <w:left w:w="120" w:type="dxa"/>
              <w:bottom w:w="100" w:type="dxa"/>
              <w:right w:w="120" w:type="dxa"/>
            </w:tcMar>
            <w:vAlign w:val="center"/>
          </w:tcPr>
          <w:p w14:paraId="0A995019" w14:textId="77777777" w:rsidR="00A050EE" w:rsidRPr="00AE6104" w:rsidRDefault="00000000">
            <w:pPr>
              <w:rPr>
                <w:sz w:val="24"/>
                <w:szCs w:val="24"/>
              </w:rPr>
            </w:pPr>
            <w:r w:rsidRPr="00AE6104">
              <w:t>The president remains in office through 2027</w:t>
            </w:r>
          </w:p>
        </w:tc>
        <w:tc>
          <w:tcPr>
            <w:tcW w:w="1400" w:type="dxa"/>
            <w:tcMar>
              <w:top w:w="100" w:type="dxa"/>
              <w:left w:w="120" w:type="dxa"/>
              <w:bottom w:w="100" w:type="dxa"/>
              <w:right w:w="120" w:type="dxa"/>
            </w:tcMar>
            <w:vAlign w:val="center"/>
          </w:tcPr>
          <w:p w14:paraId="36A2863B" w14:textId="77777777" w:rsidR="00A050EE" w:rsidRPr="00AE6104" w:rsidRDefault="00000000">
            <w:pPr>
              <w:rPr>
                <w:sz w:val="24"/>
                <w:szCs w:val="24"/>
              </w:rPr>
            </w:pPr>
            <w:r w:rsidRPr="00AE6104">
              <w:t>Moderately high</w:t>
            </w:r>
          </w:p>
        </w:tc>
        <w:tc>
          <w:tcPr>
            <w:tcW w:w="4000" w:type="dxa"/>
            <w:tcMar>
              <w:top w:w="100" w:type="dxa"/>
              <w:left w:w="120" w:type="dxa"/>
              <w:bottom w:w="100" w:type="dxa"/>
              <w:right w:w="120" w:type="dxa"/>
            </w:tcMar>
            <w:vAlign w:val="center"/>
          </w:tcPr>
          <w:p w14:paraId="14045349" w14:textId="77777777" w:rsidR="00A050EE" w:rsidRPr="00AE6104" w:rsidRDefault="00000000">
            <w:pPr>
              <w:rPr>
                <w:sz w:val="24"/>
                <w:szCs w:val="24"/>
              </w:rPr>
            </w:pPr>
            <w:r w:rsidRPr="00AE6104">
              <w:t>His authority is constrained, but Senate removal is unlikely</w:t>
            </w:r>
          </w:p>
        </w:tc>
      </w:tr>
      <w:tr w:rsidR="00A050EE" w:rsidRPr="00AE6104" w14:paraId="6309BFC7" w14:textId="77777777">
        <w:tblPrEx>
          <w:tblCellMar>
            <w:top w:w="0" w:type="dxa"/>
            <w:bottom w:w="0" w:type="dxa"/>
          </w:tblCellMar>
        </w:tblPrEx>
        <w:tc>
          <w:tcPr>
            <w:tcW w:w="4000" w:type="dxa"/>
            <w:shd w:val="clear" w:color="auto" w:fill="F5F0E8"/>
            <w:tcMar>
              <w:top w:w="100" w:type="dxa"/>
              <w:left w:w="120" w:type="dxa"/>
              <w:bottom w:w="100" w:type="dxa"/>
              <w:right w:w="120" w:type="dxa"/>
            </w:tcMar>
            <w:vAlign w:val="center"/>
          </w:tcPr>
          <w:p w14:paraId="4ED1DA54" w14:textId="77777777" w:rsidR="00A050EE" w:rsidRPr="00AE6104" w:rsidRDefault="00000000">
            <w:pPr>
              <w:rPr>
                <w:sz w:val="24"/>
                <w:szCs w:val="24"/>
              </w:rPr>
            </w:pPr>
            <w:r w:rsidRPr="00AE6104">
              <w:t>Public protests and labor conflict increase</w:t>
            </w:r>
          </w:p>
        </w:tc>
        <w:tc>
          <w:tcPr>
            <w:tcW w:w="1400" w:type="dxa"/>
            <w:shd w:val="clear" w:color="auto" w:fill="F5F0E8"/>
            <w:tcMar>
              <w:top w:w="100" w:type="dxa"/>
              <w:left w:w="120" w:type="dxa"/>
              <w:bottom w:w="100" w:type="dxa"/>
              <w:right w:w="120" w:type="dxa"/>
            </w:tcMar>
            <w:vAlign w:val="center"/>
          </w:tcPr>
          <w:p w14:paraId="63B1A786" w14:textId="77777777" w:rsidR="00A050EE" w:rsidRPr="00AE6104" w:rsidRDefault="00000000">
            <w:pPr>
              <w:rPr>
                <w:sz w:val="24"/>
                <w:szCs w:val="24"/>
              </w:rPr>
            </w:pPr>
            <w:r w:rsidRPr="00AE6104">
              <w:t>Moderately high</w:t>
            </w:r>
          </w:p>
        </w:tc>
        <w:tc>
          <w:tcPr>
            <w:tcW w:w="4000" w:type="dxa"/>
            <w:shd w:val="clear" w:color="auto" w:fill="F5F0E8"/>
            <w:tcMar>
              <w:top w:w="100" w:type="dxa"/>
              <w:left w:w="120" w:type="dxa"/>
              <w:bottom w:w="100" w:type="dxa"/>
              <w:right w:w="120" w:type="dxa"/>
            </w:tcMar>
            <w:vAlign w:val="center"/>
          </w:tcPr>
          <w:p w14:paraId="3174A5CF" w14:textId="77777777" w:rsidR="00A050EE" w:rsidRPr="00AE6104" w:rsidRDefault="00000000">
            <w:pPr>
              <w:rPr>
                <w:sz w:val="24"/>
                <w:szCs w:val="24"/>
              </w:rPr>
            </w:pPr>
            <w:r w:rsidRPr="00AE6104">
              <w:t>Inflation, employment restructuring, immigration, war, and government policy provide several triggers</w:t>
            </w:r>
          </w:p>
        </w:tc>
      </w:tr>
      <w:tr w:rsidR="00A050EE" w:rsidRPr="00AE6104" w14:paraId="45F49DCA" w14:textId="77777777">
        <w:tblPrEx>
          <w:tblCellMar>
            <w:top w:w="0" w:type="dxa"/>
            <w:bottom w:w="0" w:type="dxa"/>
          </w:tblCellMar>
        </w:tblPrEx>
        <w:tc>
          <w:tcPr>
            <w:tcW w:w="4000" w:type="dxa"/>
            <w:tcMar>
              <w:top w:w="100" w:type="dxa"/>
              <w:left w:w="120" w:type="dxa"/>
              <w:bottom w:w="100" w:type="dxa"/>
              <w:right w:w="120" w:type="dxa"/>
            </w:tcMar>
            <w:vAlign w:val="center"/>
          </w:tcPr>
          <w:p w14:paraId="080F1D5F" w14:textId="77777777" w:rsidR="00A050EE" w:rsidRPr="00AE6104" w:rsidRDefault="00000000">
            <w:pPr>
              <w:rPr>
                <w:sz w:val="24"/>
                <w:szCs w:val="24"/>
              </w:rPr>
            </w:pPr>
            <w:r w:rsidRPr="00AE6104">
              <w:lastRenderedPageBreak/>
              <w:t>A complete and lasting end to the Iran conflict during 2027</w:t>
            </w:r>
          </w:p>
        </w:tc>
        <w:tc>
          <w:tcPr>
            <w:tcW w:w="1400" w:type="dxa"/>
            <w:tcMar>
              <w:top w:w="100" w:type="dxa"/>
              <w:left w:w="120" w:type="dxa"/>
              <w:bottom w:w="100" w:type="dxa"/>
              <w:right w:w="120" w:type="dxa"/>
            </w:tcMar>
            <w:vAlign w:val="center"/>
          </w:tcPr>
          <w:p w14:paraId="46E68474" w14:textId="77777777" w:rsidR="00A050EE" w:rsidRPr="00AE6104" w:rsidRDefault="00000000">
            <w:pPr>
              <w:rPr>
                <w:sz w:val="24"/>
                <w:szCs w:val="24"/>
              </w:rPr>
            </w:pPr>
            <w:r w:rsidRPr="00AE6104">
              <w:t>Low, excluded</w:t>
            </w:r>
          </w:p>
        </w:tc>
        <w:tc>
          <w:tcPr>
            <w:tcW w:w="4000" w:type="dxa"/>
            <w:tcMar>
              <w:top w:w="100" w:type="dxa"/>
              <w:left w:w="120" w:type="dxa"/>
              <w:bottom w:w="100" w:type="dxa"/>
              <w:right w:w="120" w:type="dxa"/>
            </w:tcMar>
            <w:vAlign w:val="center"/>
          </w:tcPr>
          <w:p w14:paraId="14741FCC" w14:textId="77777777" w:rsidR="00A050EE" w:rsidRPr="00AE6104" w:rsidRDefault="00000000">
            <w:pPr>
              <w:rPr>
                <w:sz w:val="24"/>
                <w:szCs w:val="24"/>
              </w:rPr>
            </w:pPr>
            <w:r w:rsidRPr="00AE6104">
              <w:t>Intermittent truces and renewed confrontations are more credible</w:t>
            </w:r>
          </w:p>
        </w:tc>
      </w:tr>
      <w:tr w:rsidR="00A050EE" w:rsidRPr="00AE6104" w14:paraId="617A4095" w14:textId="77777777">
        <w:tblPrEx>
          <w:tblCellMar>
            <w:top w:w="0" w:type="dxa"/>
            <w:bottom w:w="0" w:type="dxa"/>
          </w:tblCellMar>
        </w:tblPrEx>
        <w:tc>
          <w:tcPr>
            <w:tcW w:w="4000" w:type="dxa"/>
            <w:shd w:val="clear" w:color="auto" w:fill="F5F0E8"/>
            <w:tcMar>
              <w:top w:w="100" w:type="dxa"/>
              <w:left w:w="120" w:type="dxa"/>
              <w:bottom w:w="100" w:type="dxa"/>
              <w:right w:w="120" w:type="dxa"/>
            </w:tcMar>
            <w:vAlign w:val="center"/>
          </w:tcPr>
          <w:p w14:paraId="54562F90" w14:textId="77777777" w:rsidR="00A050EE" w:rsidRPr="00AE6104" w:rsidRDefault="00000000">
            <w:pPr>
              <w:rPr>
                <w:sz w:val="24"/>
                <w:szCs w:val="24"/>
              </w:rPr>
            </w:pPr>
            <w:r w:rsidRPr="00AE6104">
              <w:t>Exact individual Senate winners</w:t>
            </w:r>
          </w:p>
        </w:tc>
        <w:tc>
          <w:tcPr>
            <w:tcW w:w="1400" w:type="dxa"/>
            <w:shd w:val="clear" w:color="auto" w:fill="F5F0E8"/>
            <w:tcMar>
              <w:top w:w="100" w:type="dxa"/>
              <w:left w:w="120" w:type="dxa"/>
              <w:bottom w:w="100" w:type="dxa"/>
              <w:right w:w="120" w:type="dxa"/>
            </w:tcMar>
            <w:vAlign w:val="center"/>
          </w:tcPr>
          <w:p w14:paraId="096B97B5" w14:textId="77777777" w:rsidR="00A050EE" w:rsidRPr="00AE6104" w:rsidRDefault="00000000">
            <w:pPr>
              <w:rPr>
                <w:sz w:val="24"/>
                <w:szCs w:val="24"/>
              </w:rPr>
            </w:pPr>
            <w:r w:rsidRPr="00AE6104">
              <w:t>Excluded</w:t>
            </w:r>
          </w:p>
        </w:tc>
        <w:tc>
          <w:tcPr>
            <w:tcW w:w="4000" w:type="dxa"/>
            <w:shd w:val="clear" w:color="auto" w:fill="F5F0E8"/>
            <w:tcMar>
              <w:top w:w="100" w:type="dxa"/>
              <w:left w:w="120" w:type="dxa"/>
              <w:bottom w:w="100" w:type="dxa"/>
              <w:right w:w="120" w:type="dxa"/>
            </w:tcMar>
            <w:vAlign w:val="center"/>
          </w:tcPr>
          <w:p w14:paraId="7FA7BFE9" w14:textId="77777777" w:rsidR="00A050EE" w:rsidRPr="00AE6104" w:rsidRDefault="00000000">
            <w:pPr>
              <w:rPr>
                <w:sz w:val="24"/>
                <w:szCs w:val="24"/>
              </w:rPr>
            </w:pPr>
            <w:r w:rsidRPr="00AE6104">
              <w:t>The national charts are insufficient for defensible candidate-level calls</w:t>
            </w:r>
          </w:p>
        </w:tc>
      </w:tr>
    </w:tbl>
    <w:p w14:paraId="2A0C868C" w14:textId="1A8393DE" w:rsidR="00A050EE" w:rsidRPr="00AE6104" w:rsidRDefault="00A050EE">
      <w:pPr>
        <w:rPr>
          <w:sz w:val="24"/>
          <w:szCs w:val="24"/>
        </w:rPr>
      </w:pPr>
    </w:p>
    <w:p w14:paraId="3D926A59" w14:textId="77777777" w:rsidR="00A050EE" w:rsidRPr="00AE6104" w:rsidRDefault="00000000">
      <w:pPr>
        <w:pStyle w:val="Heading1"/>
        <w:pBdr>
          <w:bottom w:val="single" w:sz="8" w:space="4" w:color="B8860B"/>
        </w:pBdr>
        <w:spacing w:before="480" w:after="200"/>
        <w:rPr>
          <w:sz w:val="36"/>
          <w:szCs w:val="36"/>
        </w:rPr>
      </w:pPr>
      <w:r w:rsidRPr="00AE6104">
        <w:rPr>
          <w:b/>
          <w:bCs/>
          <w:color w:val="1B2A4A"/>
        </w:rPr>
        <w:t>PART I — HIGHER-CONFIDENCE PREDICTIONS</w:t>
      </w:r>
    </w:p>
    <w:p w14:paraId="3506A8BB" w14:textId="77777777" w:rsidR="00A050EE" w:rsidRPr="00AE6104" w:rsidRDefault="00000000">
      <w:pPr>
        <w:spacing w:after="160" w:line="300" w:lineRule="auto"/>
        <w:jc w:val="both"/>
        <w:rPr>
          <w:sz w:val="24"/>
          <w:szCs w:val="24"/>
        </w:rPr>
      </w:pPr>
      <w:r w:rsidRPr="00AE6104">
        <w:rPr>
          <w:sz w:val="24"/>
          <w:szCs w:val="24"/>
        </w:rPr>
        <w:t>These are the conclusions I would place in a formal investment outlook. “High confidence” means approximately sixty-five to eighty-five percent conviction within this combined framework. It does not mean certainty.</w:t>
      </w:r>
    </w:p>
    <w:p w14:paraId="5B83E3F3" w14:textId="77777777" w:rsidR="00A050EE" w:rsidRPr="00AE6104" w:rsidRDefault="00000000">
      <w:pPr>
        <w:pStyle w:val="Heading2"/>
        <w:spacing w:before="360" w:after="140"/>
        <w:rPr>
          <w:sz w:val="28"/>
          <w:szCs w:val="28"/>
        </w:rPr>
      </w:pPr>
      <w:r w:rsidRPr="00AE6104">
        <w:rPr>
          <w:b/>
          <w:bCs/>
          <w:color w:val="1B2A4A"/>
          <w:sz w:val="28"/>
          <w:szCs w:val="28"/>
        </w:rPr>
        <w:t>1. The Fiscal Problem Becomes an Investment Problem</w:t>
      </w:r>
    </w:p>
    <w:p w14:paraId="6DCCCF32" w14:textId="77777777" w:rsidR="00A050EE" w:rsidRPr="00AE6104" w:rsidRDefault="00000000">
      <w:pPr>
        <w:spacing w:after="160" w:line="300" w:lineRule="auto"/>
        <w:jc w:val="both"/>
        <w:rPr>
          <w:sz w:val="24"/>
          <w:szCs w:val="24"/>
        </w:rPr>
      </w:pPr>
      <w:r w:rsidRPr="00AE6104">
        <w:rPr>
          <w:sz w:val="24"/>
          <w:szCs w:val="24"/>
        </w:rPr>
        <w:t>The United States will not suddenly become unable to borrow in 2027. The more credible risk is gradual financial pressure:</w:t>
      </w:r>
    </w:p>
    <w:p w14:paraId="65359CE9" w14:textId="77777777" w:rsidR="00A050EE" w:rsidRPr="00AE6104" w:rsidRDefault="00000000">
      <w:pPr>
        <w:pStyle w:val="ListParagraph"/>
        <w:numPr>
          <w:ilvl w:val="0"/>
          <w:numId w:val="2"/>
        </w:numPr>
        <w:spacing w:after="100"/>
        <w:rPr>
          <w:sz w:val="24"/>
          <w:szCs w:val="24"/>
        </w:rPr>
      </w:pPr>
      <w:r w:rsidRPr="00AE6104">
        <w:rPr>
          <w:sz w:val="24"/>
          <w:szCs w:val="24"/>
        </w:rPr>
        <w:t>Greater Treasury issuance</w:t>
      </w:r>
    </w:p>
    <w:p w14:paraId="54D17846" w14:textId="77777777" w:rsidR="00A050EE" w:rsidRPr="00AE6104" w:rsidRDefault="00000000">
      <w:pPr>
        <w:pStyle w:val="ListParagraph"/>
        <w:numPr>
          <w:ilvl w:val="0"/>
          <w:numId w:val="2"/>
        </w:numPr>
        <w:spacing w:after="100"/>
        <w:rPr>
          <w:sz w:val="24"/>
          <w:szCs w:val="24"/>
        </w:rPr>
      </w:pPr>
      <w:r w:rsidRPr="00AE6104">
        <w:rPr>
          <w:sz w:val="24"/>
          <w:szCs w:val="24"/>
        </w:rPr>
        <w:t>Higher interest expense</w:t>
      </w:r>
    </w:p>
    <w:p w14:paraId="03000946" w14:textId="77777777" w:rsidR="00A050EE" w:rsidRPr="00AE6104" w:rsidRDefault="00000000">
      <w:pPr>
        <w:pStyle w:val="ListParagraph"/>
        <w:numPr>
          <w:ilvl w:val="0"/>
          <w:numId w:val="2"/>
        </w:numPr>
        <w:spacing w:after="100"/>
        <w:rPr>
          <w:sz w:val="24"/>
          <w:szCs w:val="24"/>
        </w:rPr>
      </w:pPr>
      <w:r w:rsidRPr="00AE6104">
        <w:rPr>
          <w:sz w:val="24"/>
          <w:szCs w:val="24"/>
        </w:rPr>
        <w:t>Persistent pressure on long-term yields</w:t>
      </w:r>
    </w:p>
    <w:p w14:paraId="33706EDD" w14:textId="77777777" w:rsidR="00A050EE" w:rsidRPr="00AE6104" w:rsidRDefault="00000000">
      <w:pPr>
        <w:pStyle w:val="ListParagraph"/>
        <w:numPr>
          <w:ilvl w:val="0"/>
          <w:numId w:val="2"/>
        </w:numPr>
        <w:spacing w:after="100"/>
        <w:rPr>
          <w:sz w:val="24"/>
          <w:szCs w:val="24"/>
        </w:rPr>
      </w:pPr>
      <w:r w:rsidRPr="00AE6104">
        <w:rPr>
          <w:sz w:val="24"/>
          <w:szCs w:val="24"/>
        </w:rPr>
        <w:t>Competition between government borrowing and private investment</w:t>
      </w:r>
    </w:p>
    <w:p w14:paraId="7B59E31C" w14:textId="77777777" w:rsidR="00A050EE" w:rsidRPr="00AE6104" w:rsidRDefault="00000000">
      <w:pPr>
        <w:pStyle w:val="ListParagraph"/>
        <w:numPr>
          <w:ilvl w:val="0"/>
          <w:numId w:val="2"/>
        </w:numPr>
        <w:spacing w:after="100"/>
        <w:rPr>
          <w:sz w:val="24"/>
          <w:szCs w:val="24"/>
        </w:rPr>
      </w:pPr>
      <w:r w:rsidRPr="00AE6104">
        <w:rPr>
          <w:sz w:val="24"/>
          <w:szCs w:val="24"/>
        </w:rPr>
        <w:t>Political pressure on the Federal Reserve</w:t>
      </w:r>
    </w:p>
    <w:p w14:paraId="426A9D50" w14:textId="77777777" w:rsidR="00A050EE" w:rsidRPr="00AE6104" w:rsidRDefault="00000000">
      <w:pPr>
        <w:pStyle w:val="ListParagraph"/>
        <w:numPr>
          <w:ilvl w:val="0"/>
          <w:numId w:val="2"/>
        </w:numPr>
        <w:spacing w:after="100"/>
        <w:rPr>
          <w:sz w:val="24"/>
          <w:szCs w:val="24"/>
        </w:rPr>
      </w:pPr>
      <w:r w:rsidRPr="00AE6104">
        <w:rPr>
          <w:sz w:val="24"/>
          <w:szCs w:val="24"/>
        </w:rPr>
        <w:t>Regulatory efforts to strengthen domestic demand for Treasury securities</w:t>
      </w:r>
    </w:p>
    <w:p w14:paraId="0F21CE85" w14:textId="77777777" w:rsidR="00A050EE" w:rsidRPr="00AE6104" w:rsidRDefault="00000000">
      <w:pPr>
        <w:pStyle w:val="ListParagraph"/>
        <w:numPr>
          <w:ilvl w:val="0"/>
          <w:numId w:val="2"/>
        </w:numPr>
        <w:spacing w:after="100"/>
        <w:rPr>
          <w:sz w:val="24"/>
          <w:szCs w:val="24"/>
        </w:rPr>
      </w:pPr>
      <w:r w:rsidRPr="00AE6104">
        <w:rPr>
          <w:sz w:val="24"/>
          <w:szCs w:val="24"/>
        </w:rPr>
        <w:t>Increased investor sensitivity to bond auctions, inflation, deficits, and credit-rating decisions</w:t>
      </w:r>
    </w:p>
    <w:p w14:paraId="1EFC9099" w14:textId="77777777" w:rsidR="00A050EE" w:rsidRPr="00AE6104" w:rsidRDefault="00000000">
      <w:pPr>
        <w:spacing w:after="160" w:line="300" w:lineRule="auto"/>
        <w:jc w:val="both"/>
        <w:rPr>
          <w:sz w:val="24"/>
          <w:szCs w:val="24"/>
        </w:rPr>
      </w:pPr>
      <w:r w:rsidRPr="00AE6104">
        <w:rPr>
          <w:sz w:val="24"/>
          <w:szCs w:val="24"/>
        </w:rPr>
        <w:t xml:space="preserve">The Congressional Budget Office projects a fiscal-year 2026 deficit of approximately $1.9 trillion, with publicly held debt rising from 101% of GDP in 2026 to 120% by 2036, and identifies interest expense as an important driver of the deterioration. The deficit had already reached an estimated $2 trillion during the first eleven months of fiscal 2026. (Sources: </w:t>
      </w:r>
      <w:hyperlink r:id="rId8" w:history="1">
        <w:r w:rsidRPr="00AE6104">
          <w:rPr>
            <w:color w:val="8B6914"/>
            <w:sz w:val="24"/>
            <w:szCs w:val="24"/>
            <w:u w:val="single"/>
          </w:rPr>
          <w:t>CBO's 2026–2036 outlook</w:t>
        </w:r>
      </w:hyperlink>
      <w:r w:rsidRPr="00AE6104">
        <w:rPr>
          <w:sz w:val="24"/>
          <w:szCs w:val="24"/>
        </w:rPr>
        <w:t xml:space="preserve">; </w:t>
      </w:r>
      <w:hyperlink r:id="rId9" w:history="1">
        <w:r w:rsidRPr="00AE6104">
          <w:rPr>
            <w:color w:val="8B6914"/>
            <w:sz w:val="24"/>
            <w:szCs w:val="24"/>
            <w:u w:val="single"/>
          </w:rPr>
          <w:t>CBO August 2026 budget review</w:t>
        </w:r>
      </w:hyperlink>
      <w:r w:rsidRPr="00AE6104">
        <w:rPr>
          <w:sz w:val="24"/>
          <w:szCs w:val="24"/>
        </w:rPr>
        <w:t>)</w:t>
      </w:r>
    </w:p>
    <w:p w14:paraId="5A43ED9C" w14:textId="77777777" w:rsidR="00A050EE" w:rsidRPr="00AE6104" w:rsidRDefault="00000000">
      <w:pPr>
        <w:spacing w:after="160" w:line="300" w:lineRule="auto"/>
        <w:jc w:val="both"/>
        <w:rPr>
          <w:sz w:val="24"/>
          <w:szCs w:val="24"/>
        </w:rPr>
      </w:pPr>
      <w:r w:rsidRPr="00AE6104">
        <w:rPr>
          <w:sz w:val="24"/>
          <w:szCs w:val="24"/>
        </w:rPr>
        <w:t>The annual patterns reinforce this conclusion because the 2027 emphasis moves decisively toward debt, liabilities, taxes, shared financial obligations, and institutional balance sheets. The autumn pattern repeats the pressure through disputes over money, law, and government authority.</w:t>
      </w:r>
    </w:p>
    <w:p w14:paraId="7AFF6411" w14:textId="77777777" w:rsidR="00A050EE" w:rsidRPr="00AE6104" w:rsidRDefault="00000000">
      <w:pPr>
        <w:spacing w:before="240" w:after="100"/>
        <w:rPr>
          <w:sz w:val="24"/>
          <w:szCs w:val="24"/>
        </w:rPr>
      </w:pPr>
      <w:r w:rsidRPr="00AE6104">
        <w:rPr>
          <w:b/>
          <w:bCs/>
          <w:i/>
          <w:iCs/>
          <w:color w:val="8B6914"/>
          <w:sz w:val="24"/>
          <w:szCs w:val="24"/>
        </w:rPr>
        <w:t>Devil's Advocate</w:t>
      </w:r>
    </w:p>
    <w:p w14:paraId="32AEDDAF" w14:textId="77777777" w:rsidR="00A050EE" w:rsidRPr="00AE6104" w:rsidRDefault="00000000">
      <w:pPr>
        <w:spacing w:after="160" w:line="300" w:lineRule="auto"/>
        <w:jc w:val="both"/>
        <w:rPr>
          <w:sz w:val="24"/>
          <w:szCs w:val="24"/>
        </w:rPr>
      </w:pPr>
      <w:r w:rsidRPr="00AE6104">
        <w:rPr>
          <w:sz w:val="24"/>
          <w:szCs w:val="24"/>
        </w:rPr>
        <w:t xml:space="preserve">The claim that foreign countries have simply stopped financing the United States is overstated. Treasury's advisory committee described current Treasury demand as healthy in early 2026, although it </w:t>
      </w:r>
      <w:r w:rsidRPr="00AE6104">
        <w:rPr>
          <w:sz w:val="24"/>
          <w:szCs w:val="24"/>
        </w:rPr>
        <w:lastRenderedPageBreak/>
        <w:t xml:space="preserve">acknowledged changes in long-duration demand. A sudden funding strike is not my central forecast. (Source: </w:t>
      </w:r>
      <w:hyperlink r:id="rId10" w:history="1">
        <w:r w:rsidRPr="00AE6104">
          <w:rPr>
            <w:color w:val="8B6914"/>
            <w:sz w:val="24"/>
            <w:szCs w:val="24"/>
            <w:u w:val="single"/>
          </w:rPr>
          <w:t>Treasury Borrowing Advisory Committee</w:t>
        </w:r>
      </w:hyperlink>
      <w:r w:rsidRPr="00AE6104">
        <w:rPr>
          <w:sz w:val="24"/>
          <w:szCs w:val="24"/>
        </w:rPr>
        <w:t>)</w:t>
      </w:r>
    </w:p>
    <w:p w14:paraId="797B3FA3" w14:textId="77777777" w:rsidR="00A050EE" w:rsidRPr="00AE6104" w:rsidRDefault="00000000">
      <w:pPr>
        <w:spacing w:before="240" w:after="100"/>
        <w:rPr>
          <w:sz w:val="24"/>
          <w:szCs w:val="24"/>
        </w:rPr>
      </w:pPr>
      <w:r w:rsidRPr="00AE6104">
        <w:rPr>
          <w:b/>
          <w:bCs/>
          <w:i/>
          <w:iCs/>
          <w:color w:val="8B6914"/>
          <w:sz w:val="24"/>
          <w:szCs w:val="24"/>
        </w:rPr>
        <w:t>Investment Conclusion</w:t>
      </w:r>
    </w:p>
    <w:p w14:paraId="084551D8" w14:textId="77777777" w:rsidR="00A050EE" w:rsidRPr="00AE6104" w:rsidRDefault="00000000">
      <w:pPr>
        <w:spacing w:after="160" w:line="300" w:lineRule="auto"/>
        <w:jc w:val="both"/>
        <w:rPr>
          <w:sz w:val="24"/>
          <w:szCs w:val="24"/>
        </w:rPr>
      </w:pPr>
      <w:r w:rsidRPr="00AE6104">
        <w:rPr>
          <w:sz w:val="24"/>
          <w:szCs w:val="24"/>
        </w:rPr>
        <w:t>Expect a persistent Treasury supply problem, not an immediate Treasury market collapse.</w:t>
      </w:r>
    </w:p>
    <w:p w14:paraId="6661883C" w14:textId="77777777" w:rsidR="00A050EE" w:rsidRPr="00AE6104" w:rsidRDefault="00000000">
      <w:pPr>
        <w:pStyle w:val="Heading2"/>
        <w:spacing w:before="360" w:after="140"/>
        <w:rPr>
          <w:sz w:val="28"/>
          <w:szCs w:val="28"/>
        </w:rPr>
      </w:pPr>
      <w:r w:rsidRPr="00AE6104">
        <w:rPr>
          <w:b/>
          <w:bCs/>
          <w:color w:val="1B2A4A"/>
          <w:sz w:val="28"/>
          <w:szCs w:val="28"/>
        </w:rPr>
        <w:t>2. The Federal Reserve Remains Trapped Between Inflation and Slower Growth</w:t>
      </w:r>
    </w:p>
    <w:p w14:paraId="46B44B8D" w14:textId="77777777" w:rsidR="00A050EE" w:rsidRPr="00AE6104" w:rsidRDefault="00000000">
      <w:pPr>
        <w:spacing w:after="160" w:line="300" w:lineRule="auto"/>
        <w:jc w:val="both"/>
        <w:rPr>
          <w:sz w:val="24"/>
          <w:szCs w:val="24"/>
        </w:rPr>
      </w:pPr>
      <w:r w:rsidRPr="00AE6104">
        <w:rPr>
          <w:sz w:val="24"/>
          <w:szCs w:val="24"/>
        </w:rPr>
        <w:t>The Fed will have difficulty delivering large, sustained interest-rate reductions unless economic or financial conditions deteriorate materially.</w:t>
      </w:r>
    </w:p>
    <w:p w14:paraId="0DC32D54" w14:textId="77777777" w:rsidR="00A050EE" w:rsidRPr="00AE6104" w:rsidRDefault="00000000">
      <w:pPr>
        <w:spacing w:after="160" w:line="300" w:lineRule="auto"/>
        <w:jc w:val="both"/>
        <w:rPr>
          <w:sz w:val="24"/>
          <w:szCs w:val="24"/>
        </w:rPr>
      </w:pPr>
      <w:r w:rsidRPr="00AE6104">
        <w:rPr>
          <w:sz w:val="24"/>
          <w:szCs w:val="24"/>
        </w:rPr>
        <w:t>By August 2026, Treasury's advisory committee reported that:</w:t>
      </w:r>
    </w:p>
    <w:p w14:paraId="13AE9F79" w14:textId="77777777" w:rsidR="00A050EE" w:rsidRPr="00AE6104" w:rsidRDefault="00000000">
      <w:pPr>
        <w:pStyle w:val="ListParagraph"/>
        <w:numPr>
          <w:ilvl w:val="0"/>
          <w:numId w:val="2"/>
        </w:numPr>
        <w:spacing w:after="100"/>
        <w:rPr>
          <w:sz w:val="24"/>
          <w:szCs w:val="24"/>
        </w:rPr>
      </w:pPr>
      <w:r w:rsidRPr="00AE6104">
        <w:rPr>
          <w:sz w:val="24"/>
          <w:szCs w:val="24"/>
        </w:rPr>
        <w:t>Ten-year Treasury yields had risen to approximately 4.6%</w:t>
      </w:r>
    </w:p>
    <w:p w14:paraId="2D28A206" w14:textId="77777777" w:rsidR="00A050EE" w:rsidRPr="00AE6104" w:rsidRDefault="00000000">
      <w:pPr>
        <w:pStyle w:val="ListParagraph"/>
        <w:numPr>
          <w:ilvl w:val="0"/>
          <w:numId w:val="2"/>
        </w:numPr>
        <w:spacing w:after="100"/>
        <w:rPr>
          <w:sz w:val="24"/>
          <w:szCs w:val="24"/>
        </w:rPr>
      </w:pPr>
      <w:r w:rsidRPr="00AE6104">
        <w:rPr>
          <w:sz w:val="24"/>
          <w:szCs w:val="24"/>
        </w:rPr>
        <w:t>The Fed's target range was 3.50% to 3.75%</w:t>
      </w:r>
    </w:p>
    <w:p w14:paraId="0ADC9B72" w14:textId="77777777" w:rsidR="00A050EE" w:rsidRPr="00AE6104" w:rsidRDefault="00000000">
      <w:pPr>
        <w:pStyle w:val="ListParagraph"/>
        <w:numPr>
          <w:ilvl w:val="0"/>
          <w:numId w:val="2"/>
        </w:numPr>
        <w:spacing w:after="100"/>
        <w:rPr>
          <w:sz w:val="24"/>
          <w:szCs w:val="24"/>
        </w:rPr>
      </w:pPr>
      <w:r w:rsidRPr="00AE6104">
        <w:rPr>
          <w:sz w:val="24"/>
          <w:szCs w:val="24"/>
        </w:rPr>
        <w:t>Core PCE inflation was running around 3.3%</w:t>
      </w:r>
    </w:p>
    <w:p w14:paraId="4C442108" w14:textId="77777777" w:rsidR="00A050EE" w:rsidRPr="00AE6104" w:rsidRDefault="00000000">
      <w:pPr>
        <w:pStyle w:val="ListParagraph"/>
        <w:numPr>
          <w:ilvl w:val="0"/>
          <w:numId w:val="2"/>
        </w:numPr>
        <w:spacing w:after="100"/>
        <w:rPr>
          <w:sz w:val="24"/>
          <w:szCs w:val="24"/>
        </w:rPr>
      </w:pPr>
      <w:r w:rsidRPr="00AE6104">
        <w:rPr>
          <w:sz w:val="24"/>
          <w:szCs w:val="24"/>
        </w:rPr>
        <w:t>Energy disruptions had complicated the inflation outlook</w:t>
      </w:r>
    </w:p>
    <w:p w14:paraId="6CB407B8" w14:textId="77777777" w:rsidR="00A050EE" w:rsidRPr="00AE6104" w:rsidRDefault="00000000">
      <w:pPr>
        <w:pStyle w:val="ListParagraph"/>
        <w:numPr>
          <w:ilvl w:val="0"/>
          <w:numId w:val="2"/>
        </w:numPr>
        <w:spacing w:after="100"/>
        <w:rPr>
          <w:sz w:val="24"/>
          <w:szCs w:val="24"/>
        </w:rPr>
      </w:pPr>
      <w:r w:rsidRPr="00AE6104">
        <w:rPr>
          <w:sz w:val="24"/>
          <w:szCs w:val="24"/>
        </w:rPr>
        <w:t>Markets had moved from expecting cuts toward considering renewed increases</w:t>
      </w:r>
    </w:p>
    <w:p w14:paraId="5199198D" w14:textId="77777777" w:rsidR="00A050EE" w:rsidRPr="00AE6104" w:rsidRDefault="00000000">
      <w:pPr>
        <w:spacing w:after="160" w:line="300" w:lineRule="auto"/>
        <w:jc w:val="both"/>
        <w:rPr>
          <w:sz w:val="24"/>
          <w:szCs w:val="24"/>
        </w:rPr>
      </w:pPr>
      <w:r w:rsidRPr="00AE6104">
        <w:rPr>
          <w:sz w:val="24"/>
          <w:szCs w:val="24"/>
        </w:rPr>
        <w:t xml:space="preserve">(Source: </w:t>
      </w:r>
      <w:hyperlink r:id="rId11" w:history="1">
        <w:r w:rsidRPr="00AE6104">
          <w:rPr>
            <w:color w:val="8B6914"/>
            <w:sz w:val="24"/>
            <w:szCs w:val="24"/>
            <w:u w:val="single"/>
          </w:rPr>
          <w:t>Treasury's August 2026 market assessment</w:t>
        </w:r>
      </w:hyperlink>
      <w:r w:rsidRPr="00AE6104">
        <w:rPr>
          <w:sz w:val="24"/>
          <w:szCs w:val="24"/>
        </w:rPr>
        <w:t>)</w:t>
      </w:r>
    </w:p>
    <w:p w14:paraId="79760BDD" w14:textId="77777777" w:rsidR="00A050EE" w:rsidRPr="00AE6104" w:rsidRDefault="00000000">
      <w:pPr>
        <w:spacing w:after="160" w:line="300" w:lineRule="auto"/>
        <w:jc w:val="both"/>
        <w:rPr>
          <w:sz w:val="24"/>
          <w:szCs w:val="24"/>
        </w:rPr>
      </w:pPr>
      <w:r w:rsidRPr="00AE6104">
        <w:rPr>
          <w:sz w:val="24"/>
          <w:szCs w:val="24"/>
        </w:rPr>
        <w:t>The symbolic evidence shows government policy, credit, and financial obligations repeatedly working against one another. This is more consistent with policy conflict and stop-and-start decisions than a smooth easing cycle.</w:t>
      </w:r>
    </w:p>
    <w:p w14:paraId="40B20EBA" w14:textId="77777777" w:rsidR="00A050EE" w:rsidRPr="00AE6104" w:rsidRDefault="00000000">
      <w:pPr>
        <w:spacing w:before="240" w:after="100"/>
        <w:rPr>
          <w:sz w:val="24"/>
          <w:szCs w:val="24"/>
        </w:rPr>
      </w:pPr>
      <w:r w:rsidRPr="00AE6104">
        <w:rPr>
          <w:b/>
          <w:bCs/>
          <w:i/>
          <w:iCs/>
          <w:color w:val="8B6914"/>
          <w:sz w:val="24"/>
          <w:szCs w:val="24"/>
        </w:rPr>
        <w:t>My Forecast</w:t>
      </w:r>
    </w:p>
    <w:p w14:paraId="09EBCFB6" w14:textId="77777777" w:rsidR="00A050EE" w:rsidRPr="00AE6104" w:rsidRDefault="00000000">
      <w:pPr>
        <w:spacing w:after="160" w:line="300" w:lineRule="auto"/>
        <w:jc w:val="both"/>
        <w:rPr>
          <w:sz w:val="24"/>
          <w:szCs w:val="24"/>
        </w:rPr>
      </w:pPr>
      <w:r w:rsidRPr="00AE6104">
        <w:rPr>
          <w:sz w:val="24"/>
          <w:szCs w:val="24"/>
        </w:rPr>
        <w:t>The Fed may cut rates if employment deteriorates or markets become disorderly, but long-term yields may not decline proportionately. Investors could therefore experience the unusual combination of a lower overnight policy rate, mortgage rates that remain expensive, elevated ten-year yields, weak long-duration bond performance, and persistent inflation in food, energy, insurance, health care, and housing.</w:t>
      </w:r>
    </w:p>
    <w:p w14:paraId="368C404D" w14:textId="77777777" w:rsidR="00A050EE" w:rsidRPr="00AE6104" w:rsidRDefault="00000000">
      <w:pPr>
        <w:spacing w:after="160" w:line="300" w:lineRule="auto"/>
        <w:jc w:val="both"/>
        <w:rPr>
          <w:sz w:val="24"/>
          <w:szCs w:val="24"/>
        </w:rPr>
      </w:pPr>
      <w:r w:rsidRPr="00AE6104">
        <w:rPr>
          <w:b/>
          <w:bCs/>
          <w:sz w:val="24"/>
          <w:szCs w:val="24"/>
        </w:rPr>
        <w:t xml:space="preserve">Who benefits: </w:t>
      </w:r>
      <w:r w:rsidRPr="00AE6104">
        <w:rPr>
          <w:sz w:val="24"/>
          <w:szCs w:val="24"/>
        </w:rPr>
        <w:t>banks with strong deposit franchises, money-market funds, short-duration lenders, well-capitalized insurers, and companies holding substantial cash.</w:t>
      </w:r>
    </w:p>
    <w:p w14:paraId="3D8B92E1" w14:textId="77777777" w:rsidR="00A050EE" w:rsidRPr="00AE6104" w:rsidRDefault="00000000">
      <w:pPr>
        <w:spacing w:after="160" w:line="300" w:lineRule="auto"/>
        <w:jc w:val="both"/>
        <w:rPr>
          <w:sz w:val="24"/>
          <w:szCs w:val="24"/>
        </w:rPr>
      </w:pPr>
      <w:r w:rsidRPr="00AE6104">
        <w:rPr>
          <w:b/>
          <w:bCs/>
          <w:sz w:val="24"/>
          <w:szCs w:val="24"/>
        </w:rPr>
        <w:t xml:space="preserve">Who is hurt: </w:t>
      </w:r>
      <w:r w:rsidRPr="00AE6104">
        <w:rPr>
          <w:sz w:val="24"/>
          <w:szCs w:val="24"/>
        </w:rPr>
        <w:t>highly indebted businesses, commercial real estate borrowers, first-time homebuyers, companies requiring continuous refinancing, and households carrying variable-rate debt.</w:t>
      </w:r>
    </w:p>
    <w:p w14:paraId="2E8E9177" w14:textId="77777777" w:rsidR="00A050EE" w:rsidRPr="00AE6104" w:rsidRDefault="00000000">
      <w:pPr>
        <w:pStyle w:val="Heading2"/>
        <w:spacing w:before="360" w:after="140"/>
        <w:rPr>
          <w:sz w:val="28"/>
          <w:szCs w:val="28"/>
        </w:rPr>
      </w:pPr>
      <w:r w:rsidRPr="00AE6104">
        <w:rPr>
          <w:b/>
          <w:bCs/>
          <w:color w:val="1B2A4A"/>
          <w:sz w:val="28"/>
          <w:szCs w:val="28"/>
        </w:rPr>
        <w:t>3. Slower and More Unequal Growth, Not a National Economic Collapse</w:t>
      </w:r>
    </w:p>
    <w:p w14:paraId="2E6F3FE6" w14:textId="77777777" w:rsidR="00A050EE" w:rsidRPr="00AE6104" w:rsidRDefault="00000000">
      <w:pPr>
        <w:spacing w:after="160" w:line="300" w:lineRule="auto"/>
        <w:jc w:val="both"/>
        <w:rPr>
          <w:sz w:val="24"/>
          <w:szCs w:val="24"/>
        </w:rPr>
      </w:pPr>
      <w:r w:rsidRPr="00AE6104">
        <w:rPr>
          <w:sz w:val="24"/>
          <w:szCs w:val="24"/>
        </w:rPr>
        <w:t xml:space="preserve">Real GDP grew at an annualized 1.5% in the second quarter of 2026. The economy was expanding, but at a slower rate than earlier in the year. Corporate profits strengthened, while household purchasing power remained under pressure. (Source: </w:t>
      </w:r>
      <w:hyperlink r:id="rId12" w:history="1">
        <w:r w:rsidRPr="00AE6104">
          <w:rPr>
            <w:color w:val="8B6914"/>
            <w:sz w:val="24"/>
            <w:szCs w:val="24"/>
            <w:u w:val="single"/>
          </w:rPr>
          <w:t>Bureau of Economic Analysis</w:t>
        </w:r>
      </w:hyperlink>
      <w:r w:rsidRPr="00AE6104">
        <w:rPr>
          <w:sz w:val="24"/>
          <w:szCs w:val="24"/>
        </w:rPr>
        <w:t>)</w:t>
      </w:r>
    </w:p>
    <w:p w14:paraId="7CF320D6" w14:textId="77777777" w:rsidR="00A050EE" w:rsidRPr="00AE6104" w:rsidRDefault="00000000">
      <w:pPr>
        <w:spacing w:after="160" w:line="300" w:lineRule="auto"/>
        <w:jc w:val="both"/>
        <w:rPr>
          <w:sz w:val="24"/>
          <w:szCs w:val="24"/>
        </w:rPr>
      </w:pPr>
      <w:r w:rsidRPr="00AE6104">
        <w:rPr>
          <w:sz w:val="24"/>
          <w:szCs w:val="24"/>
        </w:rPr>
        <w:t>My 2027 base case is:</w:t>
      </w:r>
    </w:p>
    <w:p w14:paraId="163F9A1F" w14:textId="77777777" w:rsidR="00A050EE" w:rsidRPr="00AE6104" w:rsidRDefault="00000000">
      <w:pPr>
        <w:pStyle w:val="ListParagraph"/>
        <w:numPr>
          <w:ilvl w:val="0"/>
          <w:numId w:val="2"/>
        </w:numPr>
        <w:spacing w:after="100"/>
        <w:rPr>
          <w:sz w:val="24"/>
          <w:szCs w:val="24"/>
        </w:rPr>
      </w:pPr>
      <w:r w:rsidRPr="00AE6104">
        <w:rPr>
          <w:sz w:val="24"/>
          <w:szCs w:val="24"/>
        </w:rPr>
        <w:lastRenderedPageBreak/>
        <w:t>Real economic growth between stagnation and approximately 2%</w:t>
      </w:r>
    </w:p>
    <w:p w14:paraId="21084BCA" w14:textId="77777777" w:rsidR="00A050EE" w:rsidRPr="00AE6104" w:rsidRDefault="00000000">
      <w:pPr>
        <w:pStyle w:val="ListParagraph"/>
        <w:numPr>
          <w:ilvl w:val="0"/>
          <w:numId w:val="2"/>
        </w:numPr>
        <w:spacing w:after="100"/>
        <w:rPr>
          <w:sz w:val="24"/>
          <w:szCs w:val="24"/>
        </w:rPr>
      </w:pPr>
      <w:r w:rsidRPr="00AE6104">
        <w:rPr>
          <w:sz w:val="24"/>
          <w:szCs w:val="24"/>
        </w:rPr>
        <w:t>No deep national depression</w:t>
      </w:r>
    </w:p>
    <w:p w14:paraId="56504485" w14:textId="77777777" w:rsidR="00A050EE" w:rsidRPr="00AE6104" w:rsidRDefault="00000000">
      <w:pPr>
        <w:pStyle w:val="ListParagraph"/>
        <w:numPr>
          <w:ilvl w:val="0"/>
          <w:numId w:val="2"/>
        </w:numPr>
        <w:spacing w:after="100"/>
        <w:rPr>
          <w:sz w:val="24"/>
          <w:szCs w:val="24"/>
        </w:rPr>
      </w:pPr>
      <w:r w:rsidRPr="00AE6104">
        <w:rPr>
          <w:sz w:val="24"/>
          <w:szCs w:val="24"/>
        </w:rPr>
        <w:t>Weakness concentrated in interest-sensitive and lower-margin industries</w:t>
      </w:r>
    </w:p>
    <w:p w14:paraId="60618EBC" w14:textId="77777777" w:rsidR="00A050EE" w:rsidRPr="00AE6104" w:rsidRDefault="00000000">
      <w:pPr>
        <w:pStyle w:val="ListParagraph"/>
        <w:numPr>
          <w:ilvl w:val="0"/>
          <w:numId w:val="2"/>
        </w:numPr>
        <w:spacing w:after="100"/>
        <w:rPr>
          <w:sz w:val="24"/>
          <w:szCs w:val="24"/>
        </w:rPr>
      </w:pPr>
      <w:r w:rsidRPr="00AE6104">
        <w:rPr>
          <w:sz w:val="24"/>
          <w:szCs w:val="24"/>
        </w:rPr>
        <w:t>A widening difference between asset-owning households and wage-dependent households</w:t>
      </w:r>
    </w:p>
    <w:p w14:paraId="19ADBC22" w14:textId="77777777" w:rsidR="00A050EE" w:rsidRPr="00AE6104" w:rsidRDefault="00000000">
      <w:pPr>
        <w:pStyle w:val="ListParagraph"/>
        <w:numPr>
          <w:ilvl w:val="0"/>
          <w:numId w:val="2"/>
        </w:numPr>
        <w:spacing w:after="100"/>
        <w:rPr>
          <w:sz w:val="24"/>
          <w:szCs w:val="24"/>
        </w:rPr>
      </w:pPr>
      <w:r w:rsidRPr="00AE6104">
        <w:rPr>
          <w:sz w:val="24"/>
          <w:szCs w:val="24"/>
        </w:rPr>
        <w:t>More restructuring and layoffs in selected white-collar industries</w:t>
      </w:r>
    </w:p>
    <w:p w14:paraId="3917252A" w14:textId="77777777" w:rsidR="00A050EE" w:rsidRPr="00AE6104" w:rsidRDefault="00000000">
      <w:pPr>
        <w:pStyle w:val="ListParagraph"/>
        <w:numPr>
          <w:ilvl w:val="0"/>
          <w:numId w:val="2"/>
        </w:numPr>
        <w:spacing w:after="100"/>
        <w:rPr>
          <w:sz w:val="24"/>
          <w:szCs w:val="24"/>
        </w:rPr>
      </w:pPr>
      <w:r w:rsidRPr="00AE6104">
        <w:rPr>
          <w:sz w:val="24"/>
          <w:szCs w:val="24"/>
        </w:rPr>
        <w:t>Continued hiring in defense, health services, energy infrastructure, skilled trades, and certain industrial operations</w:t>
      </w:r>
    </w:p>
    <w:p w14:paraId="47F99AAB" w14:textId="77777777" w:rsidR="00A050EE" w:rsidRPr="00AE6104" w:rsidRDefault="00000000">
      <w:pPr>
        <w:spacing w:after="160" w:line="300" w:lineRule="auto"/>
        <w:jc w:val="both"/>
        <w:rPr>
          <w:sz w:val="24"/>
          <w:szCs w:val="24"/>
        </w:rPr>
      </w:pPr>
      <w:r w:rsidRPr="00AE6104">
        <w:rPr>
          <w:sz w:val="24"/>
          <w:szCs w:val="24"/>
        </w:rPr>
        <w:t>The economy can technically avoid recession while many households feel as if they are living through one. That distinction is important.</w:t>
      </w:r>
    </w:p>
    <w:p w14:paraId="4DAF66DD" w14:textId="77777777" w:rsidR="00A050EE" w:rsidRPr="00AE6104" w:rsidRDefault="00000000">
      <w:pPr>
        <w:spacing w:before="240" w:after="100"/>
        <w:rPr>
          <w:sz w:val="24"/>
          <w:szCs w:val="24"/>
        </w:rPr>
      </w:pPr>
      <w:r w:rsidRPr="00AE6104">
        <w:rPr>
          <w:b/>
          <w:bCs/>
          <w:i/>
          <w:iCs/>
          <w:color w:val="8B6914"/>
          <w:sz w:val="24"/>
          <w:szCs w:val="24"/>
        </w:rPr>
        <w:t>Why I Am Confident</w:t>
      </w:r>
    </w:p>
    <w:p w14:paraId="5D0A16D5" w14:textId="77777777" w:rsidR="00A050EE" w:rsidRPr="00AE6104" w:rsidRDefault="00000000">
      <w:pPr>
        <w:spacing w:after="160" w:line="300" w:lineRule="auto"/>
        <w:jc w:val="both"/>
        <w:rPr>
          <w:sz w:val="24"/>
          <w:szCs w:val="24"/>
        </w:rPr>
      </w:pPr>
      <w:r w:rsidRPr="00AE6104">
        <w:rPr>
          <w:sz w:val="24"/>
          <w:szCs w:val="24"/>
        </w:rPr>
        <w:t>The 2027 pattern contains serious financial pressure but also strong evidence of institutional resources and intervention. It does not describe a government that has lost all ability to respond. It describes a government forced to respond under unfavorable conditions.</w:t>
      </w:r>
    </w:p>
    <w:p w14:paraId="671ACE75" w14:textId="77777777" w:rsidR="00A050EE" w:rsidRPr="00AE6104" w:rsidRDefault="00000000">
      <w:pPr>
        <w:spacing w:before="240" w:after="100"/>
        <w:rPr>
          <w:sz w:val="24"/>
          <w:szCs w:val="24"/>
        </w:rPr>
      </w:pPr>
      <w:r w:rsidRPr="00AE6104">
        <w:rPr>
          <w:b/>
          <w:bCs/>
          <w:i/>
          <w:iCs/>
          <w:color w:val="8B6914"/>
          <w:sz w:val="24"/>
          <w:szCs w:val="24"/>
        </w:rPr>
        <w:t>Investment Conclusion</w:t>
      </w:r>
    </w:p>
    <w:p w14:paraId="0A6F399F" w14:textId="77777777" w:rsidR="00A050EE" w:rsidRPr="00AE6104" w:rsidRDefault="00000000">
      <w:pPr>
        <w:spacing w:after="160" w:line="300" w:lineRule="auto"/>
        <w:jc w:val="both"/>
        <w:rPr>
          <w:sz w:val="24"/>
          <w:szCs w:val="24"/>
        </w:rPr>
      </w:pPr>
      <w:r w:rsidRPr="00AE6104">
        <w:rPr>
          <w:sz w:val="24"/>
          <w:szCs w:val="24"/>
        </w:rPr>
        <w:t>Prepare for a rolling or sector-specific recession rather than assuming every industry contracts simultaneously.</w:t>
      </w:r>
    </w:p>
    <w:p w14:paraId="68023771" w14:textId="77777777" w:rsidR="00A050EE" w:rsidRPr="00AE6104" w:rsidRDefault="00000000">
      <w:pPr>
        <w:pStyle w:val="Heading2"/>
        <w:spacing w:before="360" w:after="140"/>
        <w:rPr>
          <w:sz w:val="28"/>
          <w:szCs w:val="28"/>
        </w:rPr>
      </w:pPr>
      <w:r w:rsidRPr="00AE6104">
        <w:rPr>
          <w:b/>
          <w:bCs/>
          <w:color w:val="1B2A4A"/>
          <w:sz w:val="28"/>
          <w:szCs w:val="28"/>
        </w:rPr>
        <w:t>4. The AI Boom Survives, but the AI Investment Universe Undergoes a Severe Separation</w:t>
      </w:r>
    </w:p>
    <w:p w14:paraId="3815CA1C" w14:textId="77777777" w:rsidR="00A050EE" w:rsidRPr="00AE6104" w:rsidRDefault="00000000">
      <w:pPr>
        <w:spacing w:after="160" w:line="300" w:lineRule="auto"/>
        <w:jc w:val="both"/>
        <w:rPr>
          <w:sz w:val="24"/>
          <w:szCs w:val="24"/>
        </w:rPr>
      </w:pPr>
      <w:r w:rsidRPr="00AE6104">
        <w:rPr>
          <w:sz w:val="24"/>
          <w:szCs w:val="24"/>
        </w:rPr>
        <w:t>I am confident that AI itself is not disappearing in 2027. Adoption, data-center construction, automation, defense applications, health applications, and corporate integration will continue. The probable “bubble” event is a repricing of expectations.</w:t>
      </w:r>
    </w:p>
    <w:p w14:paraId="36F768C4" w14:textId="77777777" w:rsidR="00A050EE" w:rsidRPr="00AE6104" w:rsidRDefault="00000000">
      <w:pPr>
        <w:spacing w:after="160" w:line="300" w:lineRule="auto"/>
        <w:jc w:val="both"/>
        <w:rPr>
          <w:sz w:val="24"/>
          <w:szCs w:val="24"/>
        </w:rPr>
      </w:pPr>
      <w:r w:rsidRPr="00AE6104">
        <w:rPr>
          <w:sz w:val="24"/>
          <w:szCs w:val="24"/>
        </w:rPr>
        <w:t>The market will distinguish between:</w:t>
      </w:r>
    </w:p>
    <w:p w14:paraId="4C7B03D0" w14:textId="77777777" w:rsidR="00A050EE" w:rsidRPr="00AE6104" w:rsidRDefault="00000000">
      <w:pPr>
        <w:pStyle w:val="ListParagraph"/>
        <w:numPr>
          <w:ilvl w:val="0"/>
          <w:numId w:val="2"/>
        </w:numPr>
        <w:spacing w:after="100"/>
        <w:rPr>
          <w:sz w:val="24"/>
          <w:szCs w:val="24"/>
        </w:rPr>
      </w:pPr>
      <w:r w:rsidRPr="00AE6104">
        <w:rPr>
          <w:sz w:val="24"/>
          <w:szCs w:val="24"/>
        </w:rPr>
        <w:t>Companies selling essential computing capacity</w:t>
      </w:r>
    </w:p>
    <w:p w14:paraId="264E2FE3" w14:textId="77777777" w:rsidR="00A050EE" w:rsidRPr="00AE6104" w:rsidRDefault="00000000">
      <w:pPr>
        <w:pStyle w:val="ListParagraph"/>
        <w:numPr>
          <w:ilvl w:val="0"/>
          <w:numId w:val="2"/>
        </w:numPr>
        <w:spacing w:after="100"/>
        <w:rPr>
          <w:sz w:val="24"/>
          <w:szCs w:val="24"/>
        </w:rPr>
      </w:pPr>
      <w:r w:rsidRPr="00AE6104">
        <w:rPr>
          <w:sz w:val="24"/>
          <w:szCs w:val="24"/>
        </w:rPr>
        <w:t>Companies with genuine AI-generated revenue</w:t>
      </w:r>
    </w:p>
    <w:p w14:paraId="208FCB78" w14:textId="77777777" w:rsidR="00A050EE" w:rsidRPr="00AE6104" w:rsidRDefault="00000000">
      <w:pPr>
        <w:pStyle w:val="ListParagraph"/>
        <w:numPr>
          <w:ilvl w:val="0"/>
          <w:numId w:val="2"/>
        </w:numPr>
        <w:spacing w:after="100"/>
        <w:rPr>
          <w:sz w:val="24"/>
          <w:szCs w:val="24"/>
        </w:rPr>
      </w:pPr>
      <w:r w:rsidRPr="00AE6104">
        <w:rPr>
          <w:sz w:val="24"/>
          <w:szCs w:val="24"/>
        </w:rPr>
        <w:t>Companies using AI to reduce costs</w:t>
      </w:r>
    </w:p>
    <w:p w14:paraId="477D7051" w14:textId="77777777" w:rsidR="00A050EE" w:rsidRPr="00AE6104" w:rsidRDefault="00000000">
      <w:pPr>
        <w:pStyle w:val="ListParagraph"/>
        <w:numPr>
          <w:ilvl w:val="0"/>
          <w:numId w:val="2"/>
        </w:numPr>
        <w:spacing w:after="100"/>
        <w:rPr>
          <w:sz w:val="24"/>
          <w:szCs w:val="24"/>
        </w:rPr>
      </w:pPr>
      <w:r w:rsidRPr="00AE6104">
        <w:rPr>
          <w:sz w:val="24"/>
          <w:szCs w:val="24"/>
        </w:rPr>
        <w:t>Companies dependent on repeated fundraising</w:t>
      </w:r>
    </w:p>
    <w:p w14:paraId="324AB655" w14:textId="77777777" w:rsidR="00A050EE" w:rsidRPr="00AE6104" w:rsidRDefault="00000000">
      <w:pPr>
        <w:pStyle w:val="ListParagraph"/>
        <w:numPr>
          <w:ilvl w:val="0"/>
          <w:numId w:val="2"/>
        </w:numPr>
        <w:spacing w:after="100"/>
        <w:rPr>
          <w:sz w:val="24"/>
          <w:szCs w:val="24"/>
        </w:rPr>
      </w:pPr>
      <w:r w:rsidRPr="00AE6104">
        <w:rPr>
          <w:sz w:val="24"/>
          <w:szCs w:val="24"/>
        </w:rPr>
        <w:t>Companies whose valuations rely primarily on an AI narrative</w:t>
      </w:r>
    </w:p>
    <w:p w14:paraId="7741ABB9" w14:textId="77777777" w:rsidR="00A050EE" w:rsidRPr="00AE6104" w:rsidRDefault="00000000">
      <w:pPr>
        <w:pStyle w:val="ListParagraph"/>
        <w:numPr>
          <w:ilvl w:val="0"/>
          <w:numId w:val="2"/>
        </w:numPr>
        <w:spacing w:after="100"/>
        <w:rPr>
          <w:sz w:val="24"/>
          <w:szCs w:val="24"/>
        </w:rPr>
      </w:pPr>
      <w:r w:rsidRPr="00AE6104">
        <w:rPr>
          <w:sz w:val="24"/>
          <w:szCs w:val="24"/>
        </w:rPr>
        <w:t>Data-center projects that cannot secure affordable energy or financing</w:t>
      </w:r>
    </w:p>
    <w:p w14:paraId="2D65D809" w14:textId="77777777" w:rsidR="00A050EE" w:rsidRPr="00AE6104" w:rsidRDefault="00000000">
      <w:pPr>
        <w:spacing w:after="160" w:line="300" w:lineRule="auto"/>
        <w:jc w:val="both"/>
        <w:rPr>
          <w:sz w:val="24"/>
          <w:szCs w:val="24"/>
        </w:rPr>
      </w:pPr>
      <w:r w:rsidRPr="00AE6104">
        <w:rPr>
          <w:sz w:val="24"/>
          <w:szCs w:val="24"/>
        </w:rPr>
        <w:t xml:space="preserve">The Federal Reserve has recognized both AI's productivity potential and its capacity to increase economic concentration and displace workers. It also notes that evidence of economy-wide displacement remains limited, although entry-level opportunities in certain occupations may already be affected. (Source: </w:t>
      </w:r>
      <w:hyperlink r:id="rId13" w:history="1">
        <w:r w:rsidRPr="00AE6104">
          <w:rPr>
            <w:color w:val="8B6914"/>
            <w:sz w:val="24"/>
            <w:szCs w:val="24"/>
            <w:u w:val="single"/>
          </w:rPr>
          <w:t>Federal Reserve analysis of AI and inequality</w:t>
        </w:r>
      </w:hyperlink>
      <w:r w:rsidRPr="00AE6104">
        <w:rPr>
          <w:sz w:val="24"/>
          <w:szCs w:val="24"/>
        </w:rPr>
        <w:t>)</w:t>
      </w:r>
    </w:p>
    <w:p w14:paraId="371DA69D" w14:textId="77777777" w:rsidR="00A050EE" w:rsidRPr="00AE6104" w:rsidRDefault="00000000">
      <w:pPr>
        <w:spacing w:before="240" w:after="100"/>
        <w:rPr>
          <w:sz w:val="24"/>
          <w:szCs w:val="24"/>
        </w:rPr>
      </w:pPr>
      <w:r w:rsidRPr="00AE6104">
        <w:rPr>
          <w:b/>
          <w:bCs/>
          <w:i/>
          <w:iCs/>
          <w:color w:val="8B6914"/>
          <w:sz w:val="24"/>
          <w:szCs w:val="24"/>
        </w:rPr>
        <w:t>My 2027 AI Forecast</w:t>
      </w:r>
    </w:p>
    <w:p w14:paraId="078DAA9B" w14:textId="77777777" w:rsidR="00A050EE" w:rsidRPr="00AE6104" w:rsidRDefault="00000000">
      <w:pPr>
        <w:pStyle w:val="ListParagraph"/>
        <w:numPr>
          <w:ilvl w:val="0"/>
          <w:numId w:val="2"/>
        </w:numPr>
        <w:spacing w:after="100"/>
        <w:rPr>
          <w:sz w:val="24"/>
          <w:szCs w:val="24"/>
        </w:rPr>
      </w:pPr>
      <w:r w:rsidRPr="00AE6104">
        <w:rPr>
          <w:sz w:val="24"/>
          <w:szCs w:val="24"/>
        </w:rPr>
        <w:lastRenderedPageBreak/>
        <w:t>Capital spending continues</w:t>
      </w:r>
    </w:p>
    <w:p w14:paraId="60D6C06B" w14:textId="77777777" w:rsidR="00A050EE" w:rsidRPr="00AE6104" w:rsidRDefault="00000000">
      <w:pPr>
        <w:pStyle w:val="ListParagraph"/>
        <w:numPr>
          <w:ilvl w:val="0"/>
          <w:numId w:val="2"/>
        </w:numPr>
        <w:spacing w:after="100"/>
        <w:rPr>
          <w:sz w:val="24"/>
          <w:szCs w:val="24"/>
        </w:rPr>
      </w:pPr>
      <w:r w:rsidRPr="00AE6104">
        <w:rPr>
          <w:sz w:val="24"/>
          <w:szCs w:val="24"/>
        </w:rPr>
        <w:t>Power supply becomes a more serious constraint</w:t>
      </w:r>
    </w:p>
    <w:p w14:paraId="29A0A6FC" w14:textId="77777777" w:rsidR="00A050EE" w:rsidRPr="00AE6104" w:rsidRDefault="00000000">
      <w:pPr>
        <w:pStyle w:val="ListParagraph"/>
        <w:numPr>
          <w:ilvl w:val="0"/>
          <w:numId w:val="2"/>
        </w:numPr>
        <w:spacing w:after="100"/>
        <w:rPr>
          <w:sz w:val="24"/>
          <w:szCs w:val="24"/>
        </w:rPr>
      </w:pPr>
      <w:r w:rsidRPr="00AE6104">
        <w:rPr>
          <w:sz w:val="24"/>
          <w:szCs w:val="24"/>
        </w:rPr>
        <w:t>AI-related employment growth fails to match the scale of AI investment</w:t>
      </w:r>
    </w:p>
    <w:p w14:paraId="1332CA6C" w14:textId="77777777" w:rsidR="00A050EE" w:rsidRPr="00AE6104" w:rsidRDefault="00000000">
      <w:pPr>
        <w:pStyle w:val="ListParagraph"/>
        <w:numPr>
          <w:ilvl w:val="0"/>
          <w:numId w:val="2"/>
        </w:numPr>
        <w:spacing w:after="100"/>
        <w:rPr>
          <w:sz w:val="24"/>
          <w:szCs w:val="24"/>
        </w:rPr>
      </w:pPr>
      <w:r w:rsidRPr="00AE6104">
        <w:rPr>
          <w:sz w:val="24"/>
          <w:szCs w:val="24"/>
        </w:rPr>
        <w:t>Entry-level coding, analysis, administration, marketing, and media positions remain vulnerable</w:t>
      </w:r>
    </w:p>
    <w:p w14:paraId="1E8C3F8B" w14:textId="77777777" w:rsidR="00A050EE" w:rsidRPr="00AE6104" w:rsidRDefault="00000000">
      <w:pPr>
        <w:pStyle w:val="ListParagraph"/>
        <w:numPr>
          <w:ilvl w:val="0"/>
          <w:numId w:val="2"/>
        </w:numPr>
        <w:spacing w:after="100"/>
        <w:rPr>
          <w:sz w:val="24"/>
          <w:szCs w:val="24"/>
        </w:rPr>
      </w:pPr>
      <w:r w:rsidRPr="00AE6104">
        <w:rPr>
          <w:sz w:val="24"/>
          <w:szCs w:val="24"/>
        </w:rPr>
        <w:t>Consolidation accelerates</w:t>
      </w:r>
    </w:p>
    <w:p w14:paraId="056E74B7" w14:textId="77777777" w:rsidR="00A050EE" w:rsidRPr="00AE6104" w:rsidRDefault="00000000">
      <w:pPr>
        <w:pStyle w:val="ListParagraph"/>
        <w:numPr>
          <w:ilvl w:val="0"/>
          <w:numId w:val="2"/>
        </w:numPr>
        <w:spacing w:after="100"/>
        <w:rPr>
          <w:sz w:val="24"/>
          <w:szCs w:val="24"/>
        </w:rPr>
      </w:pPr>
      <w:r w:rsidRPr="00AE6104">
        <w:rPr>
          <w:sz w:val="24"/>
          <w:szCs w:val="24"/>
        </w:rPr>
        <w:t>At least one prominent AI company, financing structure, or data-center project suffers a major disappointment</w:t>
      </w:r>
    </w:p>
    <w:p w14:paraId="79805350" w14:textId="77777777" w:rsidR="00A050EE" w:rsidRPr="00AE6104" w:rsidRDefault="00000000">
      <w:pPr>
        <w:pStyle w:val="ListParagraph"/>
        <w:numPr>
          <w:ilvl w:val="0"/>
          <w:numId w:val="2"/>
        </w:numPr>
        <w:spacing w:after="100"/>
        <w:rPr>
          <w:sz w:val="24"/>
          <w:szCs w:val="24"/>
        </w:rPr>
      </w:pPr>
      <w:r w:rsidRPr="00AE6104">
        <w:rPr>
          <w:sz w:val="24"/>
          <w:szCs w:val="24"/>
        </w:rPr>
        <w:t>Profitable platform companies survive a correction better than speculative software companies</w:t>
      </w:r>
    </w:p>
    <w:p w14:paraId="4B09252A" w14:textId="77777777" w:rsidR="00A050EE" w:rsidRPr="00AE6104" w:rsidRDefault="00000000">
      <w:pPr>
        <w:pStyle w:val="ListParagraph"/>
        <w:numPr>
          <w:ilvl w:val="0"/>
          <w:numId w:val="2"/>
        </w:numPr>
        <w:spacing w:after="100"/>
        <w:rPr>
          <w:sz w:val="24"/>
          <w:szCs w:val="24"/>
        </w:rPr>
      </w:pPr>
      <w:r w:rsidRPr="00AE6104">
        <w:rPr>
          <w:sz w:val="24"/>
          <w:szCs w:val="24"/>
        </w:rPr>
        <w:t>AI becomes less of a universal stock-market story and more of an operational productivity story</w:t>
      </w:r>
    </w:p>
    <w:p w14:paraId="38E394E6" w14:textId="77777777" w:rsidR="00A050EE" w:rsidRPr="00AE6104" w:rsidRDefault="00000000">
      <w:pPr>
        <w:spacing w:after="160" w:line="300" w:lineRule="auto"/>
        <w:jc w:val="both"/>
        <w:rPr>
          <w:sz w:val="24"/>
          <w:szCs w:val="24"/>
        </w:rPr>
      </w:pPr>
      <w:r w:rsidRPr="00AE6104">
        <w:rPr>
          <w:b/>
          <w:bCs/>
          <w:sz w:val="24"/>
          <w:szCs w:val="24"/>
        </w:rPr>
        <w:t xml:space="preserve">Beneficiaries: </w:t>
      </w:r>
      <w:r w:rsidRPr="00AE6104">
        <w:rPr>
          <w:sz w:val="24"/>
          <w:szCs w:val="24"/>
        </w:rPr>
        <w:t>semiconductor equipment, electrical equipment, grid modernization, natural gas infrastructure, nuclear power, cooling systems, cybersecurity, defense technology, data management, and profitable cloud providers.</w:t>
      </w:r>
    </w:p>
    <w:p w14:paraId="0DD410D4" w14:textId="77777777" w:rsidR="00A050EE" w:rsidRPr="00AE6104" w:rsidRDefault="00000000">
      <w:pPr>
        <w:spacing w:after="160" w:line="300" w:lineRule="auto"/>
        <w:jc w:val="both"/>
        <w:rPr>
          <w:sz w:val="24"/>
          <w:szCs w:val="24"/>
        </w:rPr>
      </w:pPr>
      <w:r w:rsidRPr="00AE6104">
        <w:rPr>
          <w:b/>
          <w:bCs/>
          <w:sz w:val="24"/>
          <w:szCs w:val="24"/>
        </w:rPr>
        <w:t xml:space="preserve">Disadvantaged: </w:t>
      </w:r>
      <w:r w:rsidRPr="00AE6104">
        <w:rPr>
          <w:sz w:val="24"/>
          <w:szCs w:val="24"/>
        </w:rPr>
        <w:t>unprofitable AI applications, undifferentiated software firms, basic outsourced knowledge work, heavily financed data-center projects, and companies relying on permanent multiple expansion.</w:t>
      </w:r>
    </w:p>
    <w:p w14:paraId="1B963D41" w14:textId="77777777" w:rsidR="00A050EE" w:rsidRPr="00AE6104" w:rsidRDefault="00000000">
      <w:pPr>
        <w:pStyle w:val="Heading2"/>
        <w:spacing w:before="360" w:after="140"/>
        <w:rPr>
          <w:sz w:val="28"/>
          <w:szCs w:val="28"/>
        </w:rPr>
      </w:pPr>
      <w:r w:rsidRPr="00AE6104">
        <w:rPr>
          <w:b/>
          <w:bCs/>
          <w:color w:val="1B2A4A"/>
          <w:sz w:val="28"/>
          <w:szCs w:val="28"/>
        </w:rPr>
        <w:t>5. A Meaningful Stock-Market Correction Is More Likely Than a Crash</w:t>
      </w:r>
    </w:p>
    <w:p w14:paraId="6DB8AED7" w14:textId="77777777" w:rsidR="00A050EE" w:rsidRPr="00AE6104" w:rsidRDefault="00000000">
      <w:pPr>
        <w:spacing w:after="160" w:line="300" w:lineRule="auto"/>
        <w:jc w:val="both"/>
        <w:rPr>
          <w:sz w:val="24"/>
          <w:szCs w:val="24"/>
        </w:rPr>
      </w:pPr>
      <w:r w:rsidRPr="00AE6104">
        <w:rPr>
          <w:sz w:val="24"/>
          <w:szCs w:val="24"/>
        </w:rPr>
        <w:t>My central market call is a ten to twenty percent peak-to-trough correction during 2027. This does not require a recession. It could be triggered by higher bond yields, an inflation surprise, disappointing AI returns, lower corporate guidance, energy-price escalation, a Treasury auction problem, credit losses in private markets, or a political or constitutional confrontation.</w:t>
      </w:r>
    </w:p>
    <w:p w14:paraId="61187234" w14:textId="77777777" w:rsidR="00A050EE" w:rsidRPr="00AE6104" w:rsidRDefault="00000000">
      <w:pPr>
        <w:spacing w:after="160" w:line="300" w:lineRule="auto"/>
        <w:jc w:val="both"/>
        <w:rPr>
          <w:sz w:val="24"/>
          <w:szCs w:val="24"/>
        </w:rPr>
      </w:pPr>
      <w:r w:rsidRPr="00AE6104">
        <w:rPr>
          <w:sz w:val="24"/>
          <w:szCs w:val="24"/>
        </w:rPr>
        <w:t xml:space="preserve">The greatest vulnerability is concentrated in expensive, long-duration, technology-oriented assets. As of August 2026, Treasury's advisory committee reported equities near record highs, with leadership coming primarily from technology and the AI investment cycle. (Source: </w:t>
      </w:r>
      <w:hyperlink r:id="rId14" w:history="1">
        <w:r w:rsidRPr="00AE6104">
          <w:rPr>
            <w:color w:val="8B6914"/>
            <w:sz w:val="24"/>
            <w:szCs w:val="24"/>
            <w:u w:val="single"/>
          </w:rPr>
          <w:t>Treasury market report</w:t>
        </w:r>
      </w:hyperlink>
      <w:r w:rsidRPr="00AE6104">
        <w:rPr>
          <w:sz w:val="24"/>
          <w:szCs w:val="24"/>
        </w:rPr>
        <w:t>)</w:t>
      </w:r>
    </w:p>
    <w:p w14:paraId="01E217BA" w14:textId="77777777" w:rsidR="00A050EE" w:rsidRPr="00AE6104" w:rsidRDefault="00000000">
      <w:pPr>
        <w:spacing w:before="240" w:after="100"/>
        <w:rPr>
          <w:sz w:val="24"/>
          <w:szCs w:val="24"/>
        </w:rPr>
      </w:pPr>
      <w:r w:rsidRPr="00AE6104">
        <w:rPr>
          <w:b/>
          <w:bCs/>
          <w:i/>
          <w:iCs/>
          <w:color w:val="8B6914"/>
          <w:sz w:val="24"/>
          <w:szCs w:val="24"/>
        </w:rPr>
        <w:t>Expected Market Structure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200"/>
      </w:tblGrid>
      <w:tr w:rsidR="00A050EE" w:rsidRPr="00AE6104" w14:paraId="6F004C96" w14:textId="77777777">
        <w:tblPrEx>
          <w:tblCellMar>
            <w:top w:w="0" w:type="dxa"/>
            <w:bottom w:w="0" w:type="dxa"/>
          </w:tblCellMar>
        </w:tblPrEx>
        <w:trPr>
          <w:tblHeader/>
        </w:trPr>
        <w:tc>
          <w:tcPr>
            <w:tcW w:w="3200" w:type="dxa"/>
            <w:shd w:val="clear" w:color="auto" w:fill="1B2A4A"/>
            <w:tcMar>
              <w:top w:w="100" w:type="dxa"/>
              <w:left w:w="120" w:type="dxa"/>
              <w:bottom w:w="100" w:type="dxa"/>
              <w:right w:w="120" w:type="dxa"/>
            </w:tcMar>
            <w:vAlign w:val="center"/>
          </w:tcPr>
          <w:p w14:paraId="59B4DE16" w14:textId="77777777" w:rsidR="00A050EE" w:rsidRPr="00AE6104" w:rsidRDefault="00000000">
            <w:pPr>
              <w:rPr>
                <w:sz w:val="24"/>
                <w:szCs w:val="24"/>
              </w:rPr>
            </w:pPr>
            <w:r w:rsidRPr="00AE6104">
              <w:rPr>
                <w:b/>
                <w:bCs/>
                <w:color w:val="FFFFFF"/>
              </w:rPr>
              <w:t>Asset or Sector</w:t>
            </w:r>
          </w:p>
        </w:tc>
        <w:tc>
          <w:tcPr>
            <w:tcW w:w="6200" w:type="dxa"/>
            <w:shd w:val="clear" w:color="auto" w:fill="1B2A4A"/>
            <w:tcMar>
              <w:top w:w="100" w:type="dxa"/>
              <w:left w:w="120" w:type="dxa"/>
              <w:bottom w:w="100" w:type="dxa"/>
              <w:right w:w="120" w:type="dxa"/>
            </w:tcMar>
            <w:vAlign w:val="center"/>
          </w:tcPr>
          <w:p w14:paraId="0AB8CF95" w14:textId="77777777" w:rsidR="00A050EE" w:rsidRPr="00AE6104" w:rsidRDefault="00000000">
            <w:pPr>
              <w:rPr>
                <w:sz w:val="24"/>
                <w:szCs w:val="24"/>
              </w:rPr>
            </w:pPr>
            <w:r w:rsidRPr="00AE6104">
              <w:rPr>
                <w:b/>
                <w:bCs/>
                <w:color w:val="FFFFFF"/>
              </w:rPr>
              <w:t>2027 Outlook</w:t>
            </w:r>
          </w:p>
        </w:tc>
      </w:tr>
      <w:tr w:rsidR="00A050EE" w:rsidRPr="00AE6104" w14:paraId="5849691B" w14:textId="77777777">
        <w:tblPrEx>
          <w:tblCellMar>
            <w:top w:w="0" w:type="dxa"/>
            <w:bottom w:w="0" w:type="dxa"/>
          </w:tblCellMar>
        </w:tblPrEx>
        <w:tc>
          <w:tcPr>
            <w:tcW w:w="3200" w:type="dxa"/>
            <w:tcMar>
              <w:top w:w="100" w:type="dxa"/>
              <w:left w:w="120" w:type="dxa"/>
              <w:bottom w:w="100" w:type="dxa"/>
              <w:right w:w="120" w:type="dxa"/>
            </w:tcMar>
            <w:vAlign w:val="center"/>
          </w:tcPr>
          <w:p w14:paraId="7986FEF0" w14:textId="77777777" w:rsidR="00A050EE" w:rsidRPr="00AE6104" w:rsidRDefault="00000000">
            <w:pPr>
              <w:rPr>
                <w:sz w:val="24"/>
                <w:szCs w:val="24"/>
              </w:rPr>
            </w:pPr>
            <w:r w:rsidRPr="00AE6104">
              <w:t>Profitable large technology platforms</w:t>
            </w:r>
          </w:p>
        </w:tc>
        <w:tc>
          <w:tcPr>
            <w:tcW w:w="6200" w:type="dxa"/>
            <w:tcMar>
              <w:top w:w="100" w:type="dxa"/>
              <w:left w:w="120" w:type="dxa"/>
              <w:bottom w:w="100" w:type="dxa"/>
              <w:right w:w="120" w:type="dxa"/>
            </w:tcMar>
            <w:vAlign w:val="center"/>
          </w:tcPr>
          <w:p w14:paraId="4AEF457B" w14:textId="77777777" w:rsidR="00A050EE" w:rsidRPr="00AE6104" w:rsidRDefault="00000000">
            <w:pPr>
              <w:rPr>
                <w:sz w:val="24"/>
                <w:szCs w:val="24"/>
              </w:rPr>
            </w:pPr>
            <w:r w:rsidRPr="00AE6104">
              <w:t>Correct, then recover better than speculative technology</w:t>
            </w:r>
          </w:p>
        </w:tc>
      </w:tr>
      <w:tr w:rsidR="00A050EE" w:rsidRPr="00AE6104" w14:paraId="1CFFD565" w14:textId="77777777">
        <w:tblPrEx>
          <w:tblCellMar>
            <w:top w:w="0" w:type="dxa"/>
            <w:bottom w:w="0" w:type="dxa"/>
          </w:tblCellMar>
        </w:tblPrEx>
        <w:tc>
          <w:tcPr>
            <w:tcW w:w="3200" w:type="dxa"/>
            <w:shd w:val="clear" w:color="auto" w:fill="F5F0E8"/>
            <w:tcMar>
              <w:top w:w="100" w:type="dxa"/>
              <w:left w:w="120" w:type="dxa"/>
              <w:bottom w:w="100" w:type="dxa"/>
              <w:right w:w="120" w:type="dxa"/>
            </w:tcMar>
            <w:vAlign w:val="center"/>
          </w:tcPr>
          <w:p w14:paraId="13522074" w14:textId="77777777" w:rsidR="00A050EE" w:rsidRPr="00AE6104" w:rsidRDefault="00000000">
            <w:pPr>
              <w:rPr>
                <w:sz w:val="24"/>
                <w:szCs w:val="24"/>
              </w:rPr>
            </w:pPr>
            <w:r w:rsidRPr="00AE6104">
              <w:t>Speculative AI and unprofitable software</w:t>
            </w:r>
          </w:p>
        </w:tc>
        <w:tc>
          <w:tcPr>
            <w:tcW w:w="6200" w:type="dxa"/>
            <w:shd w:val="clear" w:color="auto" w:fill="F5F0E8"/>
            <w:tcMar>
              <w:top w:w="100" w:type="dxa"/>
              <w:left w:w="120" w:type="dxa"/>
              <w:bottom w:w="100" w:type="dxa"/>
              <w:right w:w="120" w:type="dxa"/>
            </w:tcMar>
            <w:vAlign w:val="center"/>
          </w:tcPr>
          <w:p w14:paraId="50B3CE58" w14:textId="77777777" w:rsidR="00A050EE" w:rsidRPr="00AE6104" w:rsidRDefault="00000000">
            <w:pPr>
              <w:rPr>
                <w:sz w:val="24"/>
                <w:szCs w:val="24"/>
              </w:rPr>
            </w:pPr>
            <w:r w:rsidRPr="00AE6104">
              <w:t>Highest valuation and financing risk</w:t>
            </w:r>
          </w:p>
        </w:tc>
      </w:tr>
      <w:tr w:rsidR="00A050EE" w:rsidRPr="00AE6104" w14:paraId="2F33C676" w14:textId="77777777">
        <w:tblPrEx>
          <w:tblCellMar>
            <w:top w:w="0" w:type="dxa"/>
            <w:bottom w:w="0" w:type="dxa"/>
          </w:tblCellMar>
        </w:tblPrEx>
        <w:tc>
          <w:tcPr>
            <w:tcW w:w="3200" w:type="dxa"/>
            <w:tcMar>
              <w:top w:w="100" w:type="dxa"/>
              <w:left w:w="120" w:type="dxa"/>
              <w:bottom w:w="100" w:type="dxa"/>
              <w:right w:w="120" w:type="dxa"/>
            </w:tcMar>
            <w:vAlign w:val="center"/>
          </w:tcPr>
          <w:p w14:paraId="1DAA4BDA" w14:textId="77777777" w:rsidR="00A050EE" w:rsidRPr="00AE6104" w:rsidRDefault="00000000">
            <w:pPr>
              <w:rPr>
                <w:sz w:val="24"/>
                <w:szCs w:val="24"/>
              </w:rPr>
            </w:pPr>
            <w:r w:rsidRPr="00AE6104">
              <w:t>Semiconductors</w:t>
            </w:r>
          </w:p>
        </w:tc>
        <w:tc>
          <w:tcPr>
            <w:tcW w:w="6200" w:type="dxa"/>
            <w:tcMar>
              <w:top w:w="100" w:type="dxa"/>
              <w:left w:w="120" w:type="dxa"/>
              <w:bottom w:w="100" w:type="dxa"/>
              <w:right w:w="120" w:type="dxa"/>
            </w:tcMar>
            <w:vAlign w:val="center"/>
          </w:tcPr>
          <w:p w14:paraId="292C9A9A" w14:textId="77777777" w:rsidR="00A050EE" w:rsidRPr="00AE6104" w:rsidRDefault="00000000">
            <w:pPr>
              <w:rPr>
                <w:sz w:val="24"/>
                <w:szCs w:val="24"/>
              </w:rPr>
            </w:pPr>
            <w:r w:rsidRPr="00AE6104">
              <w:t>Long-term demand remains, but susceptible to inventory and capital-spending corrections</w:t>
            </w:r>
          </w:p>
        </w:tc>
      </w:tr>
      <w:tr w:rsidR="00A050EE" w:rsidRPr="00AE6104" w14:paraId="4CEEBE11" w14:textId="77777777">
        <w:tblPrEx>
          <w:tblCellMar>
            <w:top w:w="0" w:type="dxa"/>
            <w:bottom w:w="0" w:type="dxa"/>
          </w:tblCellMar>
        </w:tblPrEx>
        <w:tc>
          <w:tcPr>
            <w:tcW w:w="3200" w:type="dxa"/>
            <w:shd w:val="clear" w:color="auto" w:fill="F5F0E8"/>
            <w:tcMar>
              <w:top w:w="100" w:type="dxa"/>
              <w:left w:w="120" w:type="dxa"/>
              <w:bottom w:w="100" w:type="dxa"/>
              <w:right w:w="120" w:type="dxa"/>
            </w:tcMar>
            <w:vAlign w:val="center"/>
          </w:tcPr>
          <w:p w14:paraId="70515F67" w14:textId="77777777" w:rsidR="00A050EE" w:rsidRPr="00AE6104" w:rsidRDefault="00000000">
            <w:pPr>
              <w:rPr>
                <w:sz w:val="24"/>
                <w:szCs w:val="24"/>
              </w:rPr>
            </w:pPr>
            <w:r w:rsidRPr="00AE6104">
              <w:t>Power, grid and electrical equipment</w:t>
            </w:r>
          </w:p>
        </w:tc>
        <w:tc>
          <w:tcPr>
            <w:tcW w:w="6200" w:type="dxa"/>
            <w:shd w:val="clear" w:color="auto" w:fill="F5F0E8"/>
            <w:tcMar>
              <w:top w:w="100" w:type="dxa"/>
              <w:left w:w="120" w:type="dxa"/>
              <w:bottom w:w="100" w:type="dxa"/>
              <w:right w:w="120" w:type="dxa"/>
            </w:tcMar>
            <w:vAlign w:val="center"/>
          </w:tcPr>
          <w:p w14:paraId="7CC5D7A5" w14:textId="77777777" w:rsidR="00A050EE" w:rsidRPr="00AE6104" w:rsidRDefault="00000000">
            <w:pPr>
              <w:rPr>
                <w:sz w:val="24"/>
                <w:szCs w:val="24"/>
              </w:rPr>
            </w:pPr>
            <w:r w:rsidRPr="00AE6104">
              <w:t>Structurally favored, although valuations still matter</w:t>
            </w:r>
          </w:p>
        </w:tc>
      </w:tr>
      <w:tr w:rsidR="00A050EE" w:rsidRPr="00AE6104" w14:paraId="4D5138E9" w14:textId="77777777">
        <w:tblPrEx>
          <w:tblCellMar>
            <w:top w:w="0" w:type="dxa"/>
            <w:bottom w:w="0" w:type="dxa"/>
          </w:tblCellMar>
        </w:tblPrEx>
        <w:tc>
          <w:tcPr>
            <w:tcW w:w="3200" w:type="dxa"/>
            <w:tcMar>
              <w:top w:w="100" w:type="dxa"/>
              <w:left w:w="120" w:type="dxa"/>
              <w:bottom w:w="100" w:type="dxa"/>
              <w:right w:w="120" w:type="dxa"/>
            </w:tcMar>
            <w:vAlign w:val="center"/>
          </w:tcPr>
          <w:p w14:paraId="7DFE6604" w14:textId="77777777" w:rsidR="00A050EE" w:rsidRPr="00AE6104" w:rsidRDefault="00000000">
            <w:pPr>
              <w:rPr>
                <w:sz w:val="24"/>
                <w:szCs w:val="24"/>
              </w:rPr>
            </w:pPr>
            <w:r w:rsidRPr="00AE6104">
              <w:t>Defense and cybersecurity</w:t>
            </w:r>
          </w:p>
        </w:tc>
        <w:tc>
          <w:tcPr>
            <w:tcW w:w="6200" w:type="dxa"/>
            <w:tcMar>
              <w:top w:w="100" w:type="dxa"/>
              <w:left w:w="120" w:type="dxa"/>
              <w:bottom w:w="100" w:type="dxa"/>
              <w:right w:w="120" w:type="dxa"/>
            </w:tcMar>
            <w:vAlign w:val="center"/>
          </w:tcPr>
          <w:p w14:paraId="239CB179" w14:textId="77777777" w:rsidR="00A050EE" w:rsidRPr="00AE6104" w:rsidRDefault="00000000">
            <w:pPr>
              <w:rPr>
                <w:sz w:val="24"/>
                <w:szCs w:val="24"/>
              </w:rPr>
            </w:pPr>
            <w:r w:rsidRPr="00AE6104">
              <w:t>Favored by government demand and geopolitical instability</w:t>
            </w:r>
          </w:p>
        </w:tc>
      </w:tr>
      <w:tr w:rsidR="00A050EE" w:rsidRPr="00AE6104" w14:paraId="2E949C99" w14:textId="77777777">
        <w:tblPrEx>
          <w:tblCellMar>
            <w:top w:w="0" w:type="dxa"/>
            <w:bottom w:w="0" w:type="dxa"/>
          </w:tblCellMar>
        </w:tblPrEx>
        <w:tc>
          <w:tcPr>
            <w:tcW w:w="3200" w:type="dxa"/>
            <w:shd w:val="clear" w:color="auto" w:fill="F5F0E8"/>
            <w:tcMar>
              <w:top w:w="100" w:type="dxa"/>
              <w:left w:w="120" w:type="dxa"/>
              <w:bottom w:w="100" w:type="dxa"/>
              <w:right w:w="120" w:type="dxa"/>
            </w:tcMar>
            <w:vAlign w:val="center"/>
          </w:tcPr>
          <w:p w14:paraId="40012733" w14:textId="77777777" w:rsidR="00A050EE" w:rsidRPr="00AE6104" w:rsidRDefault="00000000">
            <w:pPr>
              <w:rPr>
                <w:sz w:val="24"/>
                <w:szCs w:val="24"/>
              </w:rPr>
            </w:pPr>
            <w:r w:rsidRPr="00AE6104">
              <w:lastRenderedPageBreak/>
              <w:t>Energy producers and infrastructure</w:t>
            </w:r>
          </w:p>
        </w:tc>
        <w:tc>
          <w:tcPr>
            <w:tcW w:w="6200" w:type="dxa"/>
            <w:shd w:val="clear" w:color="auto" w:fill="F5F0E8"/>
            <w:tcMar>
              <w:top w:w="100" w:type="dxa"/>
              <w:left w:w="120" w:type="dxa"/>
              <w:bottom w:w="100" w:type="dxa"/>
              <w:right w:w="120" w:type="dxa"/>
            </w:tcMar>
            <w:vAlign w:val="center"/>
          </w:tcPr>
          <w:p w14:paraId="0749A03B" w14:textId="77777777" w:rsidR="00A050EE" w:rsidRPr="00AE6104" w:rsidRDefault="00000000">
            <w:pPr>
              <w:rPr>
                <w:sz w:val="24"/>
                <w:szCs w:val="24"/>
              </w:rPr>
            </w:pPr>
            <w:r w:rsidRPr="00AE6104">
              <w:t>Favored if supply disruptions persist</w:t>
            </w:r>
          </w:p>
        </w:tc>
      </w:tr>
      <w:tr w:rsidR="00A050EE" w:rsidRPr="00AE6104" w14:paraId="38B5C36C" w14:textId="77777777">
        <w:tblPrEx>
          <w:tblCellMar>
            <w:top w:w="0" w:type="dxa"/>
            <w:bottom w:w="0" w:type="dxa"/>
          </w:tblCellMar>
        </w:tblPrEx>
        <w:tc>
          <w:tcPr>
            <w:tcW w:w="3200" w:type="dxa"/>
            <w:tcMar>
              <w:top w:w="100" w:type="dxa"/>
              <w:left w:w="120" w:type="dxa"/>
              <w:bottom w:w="100" w:type="dxa"/>
              <w:right w:w="120" w:type="dxa"/>
            </w:tcMar>
            <w:vAlign w:val="center"/>
          </w:tcPr>
          <w:p w14:paraId="16487705" w14:textId="77777777" w:rsidR="00A050EE" w:rsidRPr="00AE6104" w:rsidRDefault="00000000">
            <w:pPr>
              <w:rPr>
                <w:sz w:val="24"/>
                <w:szCs w:val="24"/>
              </w:rPr>
            </w:pPr>
            <w:r w:rsidRPr="00AE6104">
              <w:t>Regional banks</w:t>
            </w:r>
          </w:p>
        </w:tc>
        <w:tc>
          <w:tcPr>
            <w:tcW w:w="6200" w:type="dxa"/>
            <w:tcMar>
              <w:top w:w="100" w:type="dxa"/>
              <w:left w:w="120" w:type="dxa"/>
              <w:bottom w:w="100" w:type="dxa"/>
              <w:right w:w="120" w:type="dxa"/>
            </w:tcMar>
            <w:vAlign w:val="center"/>
          </w:tcPr>
          <w:p w14:paraId="750AC1B2" w14:textId="77777777" w:rsidR="00A050EE" w:rsidRPr="00AE6104" w:rsidRDefault="00000000">
            <w:pPr>
              <w:rPr>
                <w:sz w:val="24"/>
                <w:szCs w:val="24"/>
              </w:rPr>
            </w:pPr>
            <w:r w:rsidRPr="00AE6104">
              <w:t>Mixed; dependent on real estate, deposits, and credit quality</w:t>
            </w:r>
          </w:p>
        </w:tc>
      </w:tr>
      <w:tr w:rsidR="00A050EE" w:rsidRPr="00AE6104" w14:paraId="140D1564" w14:textId="77777777">
        <w:tblPrEx>
          <w:tblCellMar>
            <w:top w:w="0" w:type="dxa"/>
            <w:bottom w:w="0" w:type="dxa"/>
          </w:tblCellMar>
        </w:tblPrEx>
        <w:tc>
          <w:tcPr>
            <w:tcW w:w="3200" w:type="dxa"/>
            <w:shd w:val="clear" w:color="auto" w:fill="F5F0E8"/>
            <w:tcMar>
              <w:top w:w="100" w:type="dxa"/>
              <w:left w:w="120" w:type="dxa"/>
              <w:bottom w:w="100" w:type="dxa"/>
              <w:right w:w="120" w:type="dxa"/>
            </w:tcMar>
            <w:vAlign w:val="center"/>
          </w:tcPr>
          <w:p w14:paraId="3016E685" w14:textId="77777777" w:rsidR="00A050EE" w:rsidRPr="00AE6104" w:rsidRDefault="00000000">
            <w:pPr>
              <w:rPr>
                <w:sz w:val="24"/>
                <w:szCs w:val="24"/>
              </w:rPr>
            </w:pPr>
            <w:r w:rsidRPr="00AE6104">
              <w:t>Private credit</w:t>
            </w:r>
          </w:p>
        </w:tc>
        <w:tc>
          <w:tcPr>
            <w:tcW w:w="6200" w:type="dxa"/>
            <w:shd w:val="clear" w:color="auto" w:fill="F5F0E8"/>
            <w:tcMar>
              <w:top w:w="100" w:type="dxa"/>
              <w:left w:w="120" w:type="dxa"/>
              <w:bottom w:w="100" w:type="dxa"/>
              <w:right w:w="120" w:type="dxa"/>
            </w:tcMar>
            <w:vAlign w:val="center"/>
          </w:tcPr>
          <w:p w14:paraId="79963F73" w14:textId="77777777" w:rsidR="00A050EE" w:rsidRPr="00AE6104" w:rsidRDefault="00000000">
            <w:pPr>
              <w:rPr>
                <w:sz w:val="24"/>
                <w:szCs w:val="24"/>
              </w:rPr>
            </w:pPr>
            <w:r w:rsidRPr="00AE6104">
              <w:t>Material hidden risk because pricing is less transparent</w:t>
            </w:r>
          </w:p>
        </w:tc>
      </w:tr>
      <w:tr w:rsidR="00A050EE" w:rsidRPr="00AE6104" w14:paraId="0FA23E71" w14:textId="77777777">
        <w:tblPrEx>
          <w:tblCellMar>
            <w:top w:w="0" w:type="dxa"/>
            <w:bottom w:w="0" w:type="dxa"/>
          </w:tblCellMar>
        </w:tblPrEx>
        <w:tc>
          <w:tcPr>
            <w:tcW w:w="3200" w:type="dxa"/>
            <w:tcMar>
              <w:top w:w="100" w:type="dxa"/>
              <w:left w:w="120" w:type="dxa"/>
              <w:bottom w:w="100" w:type="dxa"/>
              <w:right w:w="120" w:type="dxa"/>
            </w:tcMar>
            <w:vAlign w:val="center"/>
          </w:tcPr>
          <w:p w14:paraId="54FA657C" w14:textId="77777777" w:rsidR="00A050EE" w:rsidRPr="00AE6104" w:rsidRDefault="00000000">
            <w:pPr>
              <w:rPr>
                <w:sz w:val="24"/>
                <w:szCs w:val="24"/>
              </w:rPr>
            </w:pPr>
            <w:r w:rsidRPr="00AE6104">
              <w:t>Commercial real estate</w:t>
            </w:r>
          </w:p>
        </w:tc>
        <w:tc>
          <w:tcPr>
            <w:tcW w:w="6200" w:type="dxa"/>
            <w:tcMar>
              <w:top w:w="100" w:type="dxa"/>
              <w:left w:w="120" w:type="dxa"/>
              <w:bottom w:w="100" w:type="dxa"/>
              <w:right w:w="120" w:type="dxa"/>
            </w:tcMar>
            <w:vAlign w:val="center"/>
          </w:tcPr>
          <w:p w14:paraId="25141CD1" w14:textId="77777777" w:rsidR="00A050EE" w:rsidRPr="00AE6104" w:rsidRDefault="00000000">
            <w:pPr>
              <w:rPr>
                <w:sz w:val="24"/>
                <w:szCs w:val="24"/>
              </w:rPr>
            </w:pPr>
            <w:r w:rsidRPr="00AE6104">
              <w:t>Continued refinancing pressure</w:t>
            </w:r>
          </w:p>
        </w:tc>
      </w:tr>
      <w:tr w:rsidR="00A050EE" w:rsidRPr="00AE6104" w14:paraId="24B42DE5" w14:textId="77777777">
        <w:tblPrEx>
          <w:tblCellMar>
            <w:top w:w="0" w:type="dxa"/>
            <w:bottom w:w="0" w:type="dxa"/>
          </w:tblCellMar>
        </w:tblPrEx>
        <w:tc>
          <w:tcPr>
            <w:tcW w:w="3200" w:type="dxa"/>
            <w:shd w:val="clear" w:color="auto" w:fill="F5F0E8"/>
            <w:tcMar>
              <w:top w:w="100" w:type="dxa"/>
              <w:left w:w="120" w:type="dxa"/>
              <w:bottom w:w="100" w:type="dxa"/>
              <w:right w:w="120" w:type="dxa"/>
            </w:tcMar>
            <w:vAlign w:val="center"/>
          </w:tcPr>
          <w:p w14:paraId="5E423796" w14:textId="77777777" w:rsidR="00A050EE" w:rsidRPr="00AE6104" w:rsidRDefault="00000000">
            <w:pPr>
              <w:rPr>
                <w:sz w:val="24"/>
                <w:szCs w:val="24"/>
              </w:rPr>
            </w:pPr>
            <w:r w:rsidRPr="00AE6104">
              <w:t>Consumer discretionary</w:t>
            </w:r>
          </w:p>
        </w:tc>
        <w:tc>
          <w:tcPr>
            <w:tcW w:w="6200" w:type="dxa"/>
            <w:shd w:val="clear" w:color="auto" w:fill="F5F0E8"/>
            <w:tcMar>
              <w:top w:w="100" w:type="dxa"/>
              <w:left w:w="120" w:type="dxa"/>
              <w:bottom w:w="100" w:type="dxa"/>
              <w:right w:w="120" w:type="dxa"/>
            </w:tcMar>
            <w:vAlign w:val="center"/>
          </w:tcPr>
          <w:p w14:paraId="2D5B5AB9" w14:textId="77777777" w:rsidR="00A050EE" w:rsidRPr="00AE6104" w:rsidRDefault="00000000">
            <w:pPr>
              <w:rPr>
                <w:sz w:val="24"/>
                <w:szCs w:val="24"/>
              </w:rPr>
            </w:pPr>
            <w:r w:rsidRPr="00AE6104">
              <w:t>Vulnerable to fuel, credit-card, housing, and insurance costs</w:t>
            </w:r>
          </w:p>
        </w:tc>
      </w:tr>
      <w:tr w:rsidR="00A050EE" w:rsidRPr="00AE6104" w14:paraId="616B262E" w14:textId="77777777">
        <w:tblPrEx>
          <w:tblCellMar>
            <w:top w:w="0" w:type="dxa"/>
            <w:bottom w:w="0" w:type="dxa"/>
          </w:tblCellMar>
        </w:tblPrEx>
        <w:tc>
          <w:tcPr>
            <w:tcW w:w="3200" w:type="dxa"/>
            <w:tcMar>
              <w:top w:w="100" w:type="dxa"/>
              <w:left w:w="120" w:type="dxa"/>
              <w:bottom w:w="100" w:type="dxa"/>
              <w:right w:w="120" w:type="dxa"/>
            </w:tcMar>
            <w:vAlign w:val="center"/>
          </w:tcPr>
          <w:p w14:paraId="2F5176FF" w14:textId="77777777" w:rsidR="00A050EE" w:rsidRPr="00AE6104" w:rsidRDefault="00000000">
            <w:pPr>
              <w:rPr>
                <w:sz w:val="24"/>
                <w:szCs w:val="24"/>
              </w:rPr>
            </w:pPr>
            <w:r w:rsidRPr="00AE6104">
              <w:t>Health care</w:t>
            </w:r>
          </w:p>
        </w:tc>
        <w:tc>
          <w:tcPr>
            <w:tcW w:w="6200" w:type="dxa"/>
            <w:tcMar>
              <w:top w:w="100" w:type="dxa"/>
              <w:left w:w="120" w:type="dxa"/>
              <w:bottom w:w="100" w:type="dxa"/>
              <w:right w:w="120" w:type="dxa"/>
            </w:tcMar>
            <w:vAlign w:val="center"/>
          </w:tcPr>
          <w:p w14:paraId="634ECF14" w14:textId="77777777" w:rsidR="00A050EE" w:rsidRPr="00AE6104" w:rsidRDefault="00000000">
            <w:pPr>
              <w:rPr>
                <w:sz w:val="24"/>
                <w:szCs w:val="24"/>
              </w:rPr>
            </w:pPr>
            <w:r w:rsidRPr="00AE6104">
              <w:t>Defensive demand, but reimbursement and government-budget risks</w:t>
            </w:r>
          </w:p>
        </w:tc>
      </w:tr>
      <w:tr w:rsidR="00A050EE" w:rsidRPr="00AE6104" w14:paraId="18B796B1" w14:textId="77777777">
        <w:tblPrEx>
          <w:tblCellMar>
            <w:top w:w="0" w:type="dxa"/>
            <w:bottom w:w="0" w:type="dxa"/>
          </w:tblCellMar>
        </w:tblPrEx>
        <w:tc>
          <w:tcPr>
            <w:tcW w:w="3200" w:type="dxa"/>
            <w:shd w:val="clear" w:color="auto" w:fill="F5F0E8"/>
            <w:tcMar>
              <w:top w:w="100" w:type="dxa"/>
              <w:left w:w="120" w:type="dxa"/>
              <w:bottom w:w="100" w:type="dxa"/>
              <w:right w:w="120" w:type="dxa"/>
            </w:tcMar>
            <w:vAlign w:val="center"/>
          </w:tcPr>
          <w:p w14:paraId="66A48C79" w14:textId="77777777" w:rsidR="00A050EE" w:rsidRPr="00AE6104" w:rsidRDefault="00000000">
            <w:pPr>
              <w:rPr>
                <w:sz w:val="24"/>
                <w:szCs w:val="24"/>
              </w:rPr>
            </w:pPr>
            <w:r w:rsidRPr="00AE6104">
              <w:t>Long-duration Treasury bonds</w:t>
            </w:r>
          </w:p>
        </w:tc>
        <w:tc>
          <w:tcPr>
            <w:tcW w:w="6200" w:type="dxa"/>
            <w:shd w:val="clear" w:color="auto" w:fill="F5F0E8"/>
            <w:tcMar>
              <w:top w:w="100" w:type="dxa"/>
              <w:left w:w="120" w:type="dxa"/>
              <w:bottom w:w="100" w:type="dxa"/>
              <w:right w:w="120" w:type="dxa"/>
            </w:tcMar>
            <w:vAlign w:val="center"/>
          </w:tcPr>
          <w:p w14:paraId="51ADEF06" w14:textId="77777777" w:rsidR="00A050EE" w:rsidRPr="00AE6104" w:rsidRDefault="00000000">
            <w:pPr>
              <w:rPr>
                <w:sz w:val="24"/>
                <w:szCs w:val="24"/>
              </w:rPr>
            </w:pPr>
            <w:r w:rsidRPr="00AE6104">
              <w:t>Vulnerable if inflation and issuance keep yields elevated</w:t>
            </w:r>
          </w:p>
        </w:tc>
      </w:tr>
      <w:tr w:rsidR="00A050EE" w:rsidRPr="00AE6104" w14:paraId="47595CA2" w14:textId="77777777">
        <w:tblPrEx>
          <w:tblCellMar>
            <w:top w:w="0" w:type="dxa"/>
            <w:bottom w:w="0" w:type="dxa"/>
          </w:tblCellMar>
        </w:tblPrEx>
        <w:tc>
          <w:tcPr>
            <w:tcW w:w="3200" w:type="dxa"/>
            <w:tcMar>
              <w:top w:w="100" w:type="dxa"/>
              <w:left w:w="120" w:type="dxa"/>
              <w:bottom w:w="100" w:type="dxa"/>
              <w:right w:w="120" w:type="dxa"/>
            </w:tcMar>
            <w:vAlign w:val="center"/>
          </w:tcPr>
          <w:p w14:paraId="561CD226" w14:textId="77777777" w:rsidR="00A050EE" w:rsidRPr="00AE6104" w:rsidRDefault="00000000">
            <w:pPr>
              <w:rPr>
                <w:sz w:val="24"/>
                <w:szCs w:val="24"/>
              </w:rPr>
            </w:pPr>
            <w:r w:rsidRPr="00AE6104">
              <w:t>Short-term government securities</w:t>
            </w:r>
          </w:p>
        </w:tc>
        <w:tc>
          <w:tcPr>
            <w:tcW w:w="6200" w:type="dxa"/>
            <w:tcMar>
              <w:top w:w="100" w:type="dxa"/>
              <w:left w:w="120" w:type="dxa"/>
              <w:bottom w:w="100" w:type="dxa"/>
              <w:right w:w="120" w:type="dxa"/>
            </w:tcMar>
            <w:vAlign w:val="center"/>
          </w:tcPr>
          <w:p w14:paraId="2AB6F172" w14:textId="77777777" w:rsidR="00A050EE" w:rsidRPr="00AE6104" w:rsidRDefault="00000000">
            <w:pPr>
              <w:rPr>
                <w:sz w:val="24"/>
                <w:szCs w:val="24"/>
              </w:rPr>
            </w:pPr>
            <w:r w:rsidRPr="00AE6104">
              <w:t>Lower price volatility, though real returns depend on inflation</w:t>
            </w:r>
          </w:p>
        </w:tc>
      </w:tr>
      <w:tr w:rsidR="00A050EE" w:rsidRPr="00AE6104" w14:paraId="29C63B4E" w14:textId="77777777">
        <w:tblPrEx>
          <w:tblCellMar>
            <w:top w:w="0" w:type="dxa"/>
            <w:bottom w:w="0" w:type="dxa"/>
          </w:tblCellMar>
        </w:tblPrEx>
        <w:tc>
          <w:tcPr>
            <w:tcW w:w="3200" w:type="dxa"/>
            <w:shd w:val="clear" w:color="auto" w:fill="F5F0E8"/>
            <w:tcMar>
              <w:top w:w="100" w:type="dxa"/>
              <w:left w:w="120" w:type="dxa"/>
              <w:bottom w:w="100" w:type="dxa"/>
              <w:right w:w="120" w:type="dxa"/>
            </w:tcMar>
            <w:vAlign w:val="center"/>
          </w:tcPr>
          <w:p w14:paraId="4A4391DC" w14:textId="77777777" w:rsidR="00A050EE" w:rsidRPr="00AE6104" w:rsidRDefault="00000000">
            <w:pPr>
              <w:rPr>
                <w:sz w:val="24"/>
                <w:szCs w:val="24"/>
              </w:rPr>
            </w:pPr>
            <w:r w:rsidRPr="00AE6104">
              <w:t>Gold</w:t>
            </w:r>
          </w:p>
        </w:tc>
        <w:tc>
          <w:tcPr>
            <w:tcW w:w="6200" w:type="dxa"/>
            <w:shd w:val="clear" w:color="auto" w:fill="F5F0E8"/>
            <w:tcMar>
              <w:top w:w="100" w:type="dxa"/>
              <w:left w:w="120" w:type="dxa"/>
              <w:bottom w:w="100" w:type="dxa"/>
              <w:right w:w="120" w:type="dxa"/>
            </w:tcMar>
            <w:vAlign w:val="center"/>
          </w:tcPr>
          <w:p w14:paraId="1D3F8B0D" w14:textId="77777777" w:rsidR="00A050EE" w:rsidRPr="00AE6104" w:rsidRDefault="00000000">
            <w:pPr>
              <w:rPr>
                <w:sz w:val="24"/>
                <w:szCs w:val="24"/>
              </w:rPr>
            </w:pPr>
            <w:r w:rsidRPr="00AE6104">
              <w:t>Supported by fiscal anxiety and geopolitical instability, but volatile</w:t>
            </w:r>
          </w:p>
        </w:tc>
      </w:tr>
      <w:tr w:rsidR="00A050EE" w:rsidRPr="00AE6104" w14:paraId="4E153969" w14:textId="77777777">
        <w:tblPrEx>
          <w:tblCellMar>
            <w:top w:w="0" w:type="dxa"/>
            <w:bottom w:w="0" w:type="dxa"/>
          </w:tblCellMar>
        </w:tblPrEx>
        <w:tc>
          <w:tcPr>
            <w:tcW w:w="3200" w:type="dxa"/>
            <w:tcMar>
              <w:top w:w="100" w:type="dxa"/>
              <w:left w:w="120" w:type="dxa"/>
              <w:bottom w:w="100" w:type="dxa"/>
              <w:right w:w="120" w:type="dxa"/>
            </w:tcMar>
            <w:vAlign w:val="center"/>
          </w:tcPr>
          <w:p w14:paraId="34DDE10D" w14:textId="77777777" w:rsidR="00A050EE" w:rsidRPr="00AE6104" w:rsidRDefault="00000000">
            <w:pPr>
              <w:rPr>
                <w:sz w:val="24"/>
                <w:szCs w:val="24"/>
              </w:rPr>
            </w:pPr>
            <w:r w:rsidRPr="00AE6104">
              <w:t>Cryptocurrency</w:t>
            </w:r>
          </w:p>
        </w:tc>
        <w:tc>
          <w:tcPr>
            <w:tcW w:w="6200" w:type="dxa"/>
            <w:tcMar>
              <w:top w:w="100" w:type="dxa"/>
              <w:left w:w="120" w:type="dxa"/>
              <w:bottom w:w="100" w:type="dxa"/>
              <w:right w:w="120" w:type="dxa"/>
            </w:tcMar>
            <w:vAlign w:val="center"/>
          </w:tcPr>
          <w:p w14:paraId="3F0F6EAA" w14:textId="77777777" w:rsidR="00A050EE" w:rsidRPr="00AE6104" w:rsidRDefault="00000000">
            <w:pPr>
              <w:rPr>
                <w:sz w:val="24"/>
                <w:szCs w:val="24"/>
              </w:rPr>
            </w:pPr>
            <w:r w:rsidRPr="00AE6104">
              <w:t>Highly sensitive to liquidity, regulation, and leveraged speculation</w:t>
            </w:r>
          </w:p>
        </w:tc>
      </w:tr>
    </w:tbl>
    <w:p w14:paraId="1F486031" w14:textId="77777777" w:rsidR="00A050EE" w:rsidRPr="00AE6104" w:rsidRDefault="00000000">
      <w:pPr>
        <w:spacing w:after="160" w:line="300" w:lineRule="auto"/>
        <w:jc w:val="both"/>
        <w:rPr>
          <w:sz w:val="24"/>
          <w:szCs w:val="24"/>
        </w:rPr>
      </w:pPr>
      <w:r w:rsidRPr="00AE6104">
        <w:rPr>
          <w:sz w:val="24"/>
          <w:szCs w:val="24"/>
        </w:rPr>
        <w:t>A fall exceeding thirty percent would probably require an additional systemic catalyst. It is possible, but it is not supported strongly enough to be my central prediction.</w:t>
      </w:r>
    </w:p>
    <w:p w14:paraId="369EF29F" w14:textId="77777777" w:rsidR="00A050EE" w:rsidRPr="00AE6104" w:rsidRDefault="00000000">
      <w:pPr>
        <w:pStyle w:val="Heading2"/>
        <w:spacing w:before="360" w:after="140"/>
        <w:rPr>
          <w:sz w:val="28"/>
          <w:szCs w:val="28"/>
        </w:rPr>
      </w:pPr>
      <w:r w:rsidRPr="00AE6104">
        <w:rPr>
          <w:b/>
          <w:bCs/>
          <w:color w:val="1B2A4A"/>
          <w:sz w:val="28"/>
          <w:szCs w:val="28"/>
        </w:rPr>
        <w:t>6. The Damage to 401(k) Accounts Comes From Repricing and Inflation, Not Confiscation</w:t>
      </w:r>
    </w:p>
    <w:p w14:paraId="0ACE87CB" w14:textId="77777777" w:rsidR="00A050EE" w:rsidRPr="00AE6104" w:rsidRDefault="00000000">
      <w:pPr>
        <w:spacing w:after="160" w:line="300" w:lineRule="auto"/>
        <w:jc w:val="both"/>
        <w:rPr>
          <w:sz w:val="24"/>
          <w:szCs w:val="24"/>
        </w:rPr>
      </w:pPr>
      <w:r w:rsidRPr="00AE6104">
        <w:rPr>
          <w:sz w:val="24"/>
          <w:szCs w:val="24"/>
        </w:rPr>
        <w:t>I do not expect the federal government to directly seize or nationalize 401(k) balances. The more credible risks are a stock-market correction reducing account balances, bond funds failing to provide full protection if long-term yields rise, inflation reducing the purchasing power of the balance, laid-off workers reducing contributions or taking hardship withdrawals, people near retirement selling during weakness and being unable to wait for recovery, and concentrated exposure to employer stock or technology magnifying losses.</w:t>
      </w:r>
    </w:p>
    <w:p w14:paraId="303C3BE8" w14:textId="77777777" w:rsidR="00A050EE" w:rsidRPr="00AE6104" w:rsidRDefault="00000000">
      <w:pPr>
        <w:spacing w:after="160" w:line="300" w:lineRule="auto"/>
        <w:jc w:val="both"/>
        <w:rPr>
          <w:sz w:val="24"/>
          <w:szCs w:val="24"/>
        </w:rPr>
      </w:pPr>
      <w:r w:rsidRPr="00AE6104">
        <w:rPr>
          <w:sz w:val="24"/>
          <w:szCs w:val="24"/>
        </w:rPr>
        <w:t>A portfolio that falls fifteen percent must subsequently gain approximately 17.6% to return to its former value. A twenty-five percent decline requires a 33.3% recovery.</w:t>
      </w:r>
    </w:p>
    <w:p w14:paraId="11D2FFDC" w14:textId="77777777" w:rsidR="00A050EE" w:rsidRPr="00AE6104" w:rsidRDefault="00000000">
      <w:pPr>
        <w:spacing w:before="240" w:after="100"/>
        <w:rPr>
          <w:sz w:val="24"/>
          <w:szCs w:val="24"/>
        </w:rPr>
      </w:pPr>
      <w:r w:rsidRPr="00AE6104">
        <w:rPr>
          <w:b/>
          <w:bCs/>
          <w:i/>
          <w:iCs/>
          <w:color w:val="8B6914"/>
          <w:sz w:val="24"/>
          <w:szCs w:val="24"/>
        </w:rPr>
        <w:t>Likely Effects by Participant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400"/>
      </w:tblGrid>
      <w:tr w:rsidR="00A050EE" w:rsidRPr="00AE6104" w14:paraId="0E564152" w14:textId="77777777">
        <w:tblPrEx>
          <w:tblCellMar>
            <w:top w:w="0" w:type="dxa"/>
            <w:bottom w:w="0" w:type="dxa"/>
          </w:tblCellMar>
        </w:tblPrEx>
        <w:trPr>
          <w:tblHeader/>
        </w:trPr>
        <w:tc>
          <w:tcPr>
            <w:tcW w:w="3000" w:type="dxa"/>
            <w:shd w:val="clear" w:color="auto" w:fill="1B2A4A"/>
            <w:tcMar>
              <w:top w:w="100" w:type="dxa"/>
              <w:left w:w="120" w:type="dxa"/>
              <w:bottom w:w="100" w:type="dxa"/>
              <w:right w:w="120" w:type="dxa"/>
            </w:tcMar>
            <w:vAlign w:val="center"/>
          </w:tcPr>
          <w:p w14:paraId="66AE66D2" w14:textId="77777777" w:rsidR="00A050EE" w:rsidRPr="00AE6104" w:rsidRDefault="00000000">
            <w:pPr>
              <w:rPr>
                <w:sz w:val="24"/>
                <w:szCs w:val="24"/>
              </w:rPr>
            </w:pPr>
            <w:r w:rsidRPr="00AE6104">
              <w:rPr>
                <w:b/>
                <w:bCs/>
                <w:color w:val="FFFFFF"/>
              </w:rPr>
              <w:t>Participant</w:t>
            </w:r>
          </w:p>
        </w:tc>
        <w:tc>
          <w:tcPr>
            <w:tcW w:w="6400" w:type="dxa"/>
            <w:shd w:val="clear" w:color="auto" w:fill="1B2A4A"/>
            <w:tcMar>
              <w:top w:w="100" w:type="dxa"/>
              <w:left w:w="120" w:type="dxa"/>
              <w:bottom w:w="100" w:type="dxa"/>
              <w:right w:w="120" w:type="dxa"/>
            </w:tcMar>
            <w:vAlign w:val="center"/>
          </w:tcPr>
          <w:p w14:paraId="4BAB8691" w14:textId="77777777" w:rsidR="00A050EE" w:rsidRPr="00AE6104" w:rsidRDefault="00000000">
            <w:pPr>
              <w:rPr>
                <w:sz w:val="24"/>
                <w:szCs w:val="24"/>
              </w:rPr>
            </w:pPr>
            <w:r w:rsidRPr="00AE6104">
              <w:rPr>
                <w:b/>
                <w:bCs/>
                <w:color w:val="FFFFFF"/>
              </w:rPr>
              <w:t>Probable Effect</w:t>
            </w:r>
          </w:p>
        </w:tc>
      </w:tr>
      <w:tr w:rsidR="00A050EE" w:rsidRPr="00AE6104" w14:paraId="4FDAA4EF" w14:textId="77777777">
        <w:tblPrEx>
          <w:tblCellMar>
            <w:top w:w="0" w:type="dxa"/>
            <w:bottom w:w="0" w:type="dxa"/>
          </w:tblCellMar>
        </w:tblPrEx>
        <w:tc>
          <w:tcPr>
            <w:tcW w:w="3000" w:type="dxa"/>
            <w:tcMar>
              <w:top w:w="100" w:type="dxa"/>
              <w:left w:w="120" w:type="dxa"/>
              <w:bottom w:w="100" w:type="dxa"/>
              <w:right w:w="120" w:type="dxa"/>
            </w:tcMar>
            <w:vAlign w:val="center"/>
          </w:tcPr>
          <w:p w14:paraId="1E1495B2" w14:textId="77777777" w:rsidR="00A050EE" w:rsidRPr="00AE6104" w:rsidRDefault="00000000">
            <w:pPr>
              <w:rPr>
                <w:sz w:val="24"/>
                <w:szCs w:val="24"/>
              </w:rPr>
            </w:pPr>
            <w:r w:rsidRPr="00AE6104">
              <w:t>Worker decades from retirement</w:t>
            </w:r>
          </w:p>
        </w:tc>
        <w:tc>
          <w:tcPr>
            <w:tcW w:w="6400" w:type="dxa"/>
            <w:tcMar>
              <w:top w:w="100" w:type="dxa"/>
              <w:left w:w="120" w:type="dxa"/>
              <w:bottom w:w="100" w:type="dxa"/>
              <w:right w:w="120" w:type="dxa"/>
            </w:tcMar>
            <w:vAlign w:val="center"/>
          </w:tcPr>
          <w:p w14:paraId="16BF9C44" w14:textId="77777777" w:rsidR="00A050EE" w:rsidRPr="00AE6104" w:rsidRDefault="00000000">
            <w:pPr>
              <w:rPr>
                <w:sz w:val="24"/>
                <w:szCs w:val="24"/>
              </w:rPr>
            </w:pPr>
            <w:r w:rsidRPr="00AE6104">
              <w:t>Temporary balance decline, potentially recoverable through continued contributions</w:t>
            </w:r>
          </w:p>
        </w:tc>
      </w:tr>
      <w:tr w:rsidR="00A050EE" w:rsidRPr="00AE6104" w14:paraId="3592C4AA" w14:textId="77777777">
        <w:tblPrEx>
          <w:tblCellMar>
            <w:top w:w="0" w:type="dxa"/>
            <w:bottom w:w="0" w:type="dxa"/>
          </w:tblCellMar>
        </w:tblPrEx>
        <w:tc>
          <w:tcPr>
            <w:tcW w:w="3000" w:type="dxa"/>
            <w:shd w:val="clear" w:color="auto" w:fill="F5F0E8"/>
            <w:tcMar>
              <w:top w:w="100" w:type="dxa"/>
              <w:left w:w="120" w:type="dxa"/>
              <w:bottom w:w="100" w:type="dxa"/>
              <w:right w:w="120" w:type="dxa"/>
            </w:tcMar>
            <w:vAlign w:val="center"/>
          </w:tcPr>
          <w:p w14:paraId="11F64290" w14:textId="77777777" w:rsidR="00A050EE" w:rsidRPr="00AE6104" w:rsidRDefault="00000000">
            <w:pPr>
              <w:rPr>
                <w:sz w:val="24"/>
                <w:szCs w:val="24"/>
              </w:rPr>
            </w:pPr>
            <w:r w:rsidRPr="00AE6104">
              <w:t>Worker five years from retirement</w:t>
            </w:r>
          </w:p>
        </w:tc>
        <w:tc>
          <w:tcPr>
            <w:tcW w:w="6400" w:type="dxa"/>
            <w:shd w:val="clear" w:color="auto" w:fill="F5F0E8"/>
            <w:tcMar>
              <w:top w:w="100" w:type="dxa"/>
              <w:left w:w="120" w:type="dxa"/>
              <w:bottom w:w="100" w:type="dxa"/>
              <w:right w:w="120" w:type="dxa"/>
            </w:tcMar>
            <w:vAlign w:val="center"/>
          </w:tcPr>
          <w:p w14:paraId="2F644AB5" w14:textId="77777777" w:rsidR="00A050EE" w:rsidRPr="00AE6104" w:rsidRDefault="00000000">
            <w:pPr>
              <w:rPr>
                <w:sz w:val="24"/>
                <w:szCs w:val="24"/>
              </w:rPr>
            </w:pPr>
            <w:r w:rsidRPr="00AE6104">
              <w:t>Greater sequence-of-returns risk and possible retirement delay</w:t>
            </w:r>
          </w:p>
        </w:tc>
      </w:tr>
      <w:tr w:rsidR="00A050EE" w:rsidRPr="00AE6104" w14:paraId="4AAA6786" w14:textId="77777777">
        <w:tblPrEx>
          <w:tblCellMar>
            <w:top w:w="0" w:type="dxa"/>
            <w:bottom w:w="0" w:type="dxa"/>
          </w:tblCellMar>
        </w:tblPrEx>
        <w:tc>
          <w:tcPr>
            <w:tcW w:w="3000" w:type="dxa"/>
            <w:tcMar>
              <w:top w:w="100" w:type="dxa"/>
              <w:left w:w="120" w:type="dxa"/>
              <w:bottom w:w="100" w:type="dxa"/>
              <w:right w:w="120" w:type="dxa"/>
            </w:tcMar>
            <w:vAlign w:val="center"/>
          </w:tcPr>
          <w:p w14:paraId="5A8F8F77" w14:textId="77777777" w:rsidR="00A050EE" w:rsidRPr="00AE6104" w:rsidRDefault="00000000">
            <w:pPr>
              <w:rPr>
                <w:sz w:val="24"/>
                <w:szCs w:val="24"/>
              </w:rPr>
            </w:pPr>
            <w:r w:rsidRPr="00AE6104">
              <w:t>Retiree making withdrawals</w:t>
            </w:r>
          </w:p>
        </w:tc>
        <w:tc>
          <w:tcPr>
            <w:tcW w:w="6400" w:type="dxa"/>
            <w:tcMar>
              <w:top w:w="100" w:type="dxa"/>
              <w:left w:w="120" w:type="dxa"/>
              <w:bottom w:w="100" w:type="dxa"/>
              <w:right w:w="120" w:type="dxa"/>
            </w:tcMar>
            <w:vAlign w:val="center"/>
          </w:tcPr>
          <w:p w14:paraId="507F9CAD" w14:textId="77777777" w:rsidR="00A050EE" w:rsidRPr="00AE6104" w:rsidRDefault="00000000">
            <w:pPr>
              <w:rPr>
                <w:sz w:val="24"/>
                <w:szCs w:val="24"/>
              </w:rPr>
            </w:pPr>
            <w:r w:rsidRPr="00AE6104">
              <w:t>Most vulnerable because withdrawals during a decline permanently reduce recovery capacity</w:t>
            </w:r>
          </w:p>
        </w:tc>
      </w:tr>
      <w:tr w:rsidR="00A050EE" w:rsidRPr="00AE6104" w14:paraId="50C04AD3" w14:textId="77777777">
        <w:tblPrEx>
          <w:tblCellMar>
            <w:top w:w="0" w:type="dxa"/>
            <w:bottom w:w="0" w:type="dxa"/>
          </w:tblCellMar>
        </w:tblPrEx>
        <w:tc>
          <w:tcPr>
            <w:tcW w:w="3000" w:type="dxa"/>
            <w:shd w:val="clear" w:color="auto" w:fill="F5F0E8"/>
            <w:tcMar>
              <w:top w:w="100" w:type="dxa"/>
              <w:left w:w="120" w:type="dxa"/>
              <w:bottom w:w="100" w:type="dxa"/>
              <w:right w:w="120" w:type="dxa"/>
            </w:tcMar>
            <w:vAlign w:val="center"/>
          </w:tcPr>
          <w:p w14:paraId="06524EE2" w14:textId="77777777" w:rsidR="00A050EE" w:rsidRPr="00AE6104" w:rsidRDefault="00000000">
            <w:pPr>
              <w:rPr>
                <w:sz w:val="24"/>
                <w:szCs w:val="24"/>
              </w:rPr>
            </w:pPr>
            <w:r w:rsidRPr="00AE6104">
              <w:lastRenderedPageBreak/>
              <w:t>Technology employee with employer stock</w:t>
            </w:r>
          </w:p>
        </w:tc>
        <w:tc>
          <w:tcPr>
            <w:tcW w:w="6400" w:type="dxa"/>
            <w:shd w:val="clear" w:color="auto" w:fill="F5F0E8"/>
            <w:tcMar>
              <w:top w:w="100" w:type="dxa"/>
              <w:left w:w="120" w:type="dxa"/>
              <w:bottom w:w="100" w:type="dxa"/>
              <w:right w:w="120" w:type="dxa"/>
            </w:tcMar>
            <w:vAlign w:val="center"/>
          </w:tcPr>
          <w:p w14:paraId="1EA8E75B" w14:textId="77777777" w:rsidR="00A050EE" w:rsidRPr="00AE6104" w:rsidRDefault="00000000">
            <w:pPr>
              <w:rPr>
                <w:sz w:val="24"/>
                <w:szCs w:val="24"/>
              </w:rPr>
            </w:pPr>
            <w:r w:rsidRPr="00AE6104">
              <w:t>Concentrated exposure to both job loss and portfolio loss</w:t>
            </w:r>
          </w:p>
        </w:tc>
      </w:tr>
      <w:tr w:rsidR="00A050EE" w:rsidRPr="00AE6104" w14:paraId="2603647F" w14:textId="77777777">
        <w:tblPrEx>
          <w:tblCellMar>
            <w:top w:w="0" w:type="dxa"/>
            <w:bottom w:w="0" w:type="dxa"/>
          </w:tblCellMar>
        </w:tblPrEx>
        <w:tc>
          <w:tcPr>
            <w:tcW w:w="3000" w:type="dxa"/>
            <w:tcMar>
              <w:top w:w="100" w:type="dxa"/>
              <w:left w:w="120" w:type="dxa"/>
              <w:bottom w:w="100" w:type="dxa"/>
              <w:right w:w="120" w:type="dxa"/>
            </w:tcMar>
            <w:vAlign w:val="center"/>
          </w:tcPr>
          <w:p w14:paraId="7C036667" w14:textId="77777777" w:rsidR="00A050EE" w:rsidRPr="00AE6104" w:rsidRDefault="00000000">
            <w:pPr>
              <w:rPr>
                <w:sz w:val="24"/>
                <w:szCs w:val="24"/>
              </w:rPr>
            </w:pPr>
            <w:r w:rsidRPr="00AE6104">
              <w:t>Balanced target-date investor</w:t>
            </w:r>
          </w:p>
        </w:tc>
        <w:tc>
          <w:tcPr>
            <w:tcW w:w="6400" w:type="dxa"/>
            <w:tcMar>
              <w:top w:w="100" w:type="dxa"/>
              <w:left w:w="120" w:type="dxa"/>
              <w:bottom w:w="100" w:type="dxa"/>
              <w:right w:w="120" w:type="dxa"/>
            </w:tcMar>
            <w:vAlign w:val="center"/>
          </w:tcPr>
          <w:p w14:paraId="297C70E2" w14:textId="77777777" w:rsidR="00A050EE" w:rsidRPr="00AE6104" w:rsidRDefault="00000000">
            <w:pPr>
              <w:rPr>
                <w:sz w:val="24"/>
                <w:szCs w:val="24"/>
              </w:rPr>
            </w:pPr>
            <w:r w:rsidRPr="00AE6104">
              <w:t>Some protection, but bond holdings may disappoint if long yields rise</w:t>
            </w:r>
          </w:p>
        </w:tc>
      </w:tr>
      <w:tr w:rsidR="00A050EE" w:rsidRPr="00AE6104" w14:paraId="1D5F220F" w14:textId="77777777">
        <w:tblPrEx>
          <w:tblCellMar>
            <w:top w:w="0" w:type="dxa"/>
            <w:bottom w:w="0" w:type="dxa"/>
          </w:tblCellMar>
        </w:tblPrEx>
        <w:tc>
          <w:tcPr>
            <w:tcW w:w="3000" w:type="dxa"/>
            <w:shd w:val="clear" w:color="auto" w:fill="F5F0E8"/>
            <w:tcMar>
              <w:top w:w="100" w:type="dxa"/>
              <w:left w:w="120" w:type="dxa"/>
              <w:bottom w:w="100" w:type="dxa"/>
              <w:right w:w="120" w:type="dxa"/>
            </w:tcMar>
            <w:vAlign w:val="center"/>
          </w:tcPr>
          <w:p w14:paraId="6B33202B" w14:textId="77777777" w:rsidR="00A050EE" w:rsidRPr="00AE6104" w:rsidRDefault="00000000">
            <w:pPr>
              <w:rPr>
                <w:sz w:val="24"/>
                <w:szCs w:val="24"/>
              </w:rPr>
            </w:pPr>
            <w:r w:rsidRPr="00AE6104">
              <w:t>Cash-heavy participant</w:t>
            </w:r>
          </w:p>
        </w:tc>
        <w:tc>
          <w:tcPr>
            <w:tcW w:w="6400" w:type="dxa"/>
            <w:shd w:val="clear" w:color="auto" w:fill="F5F0E8"/>
            <w:tcMar>
              <w:top w:w="100" w:type="dxa"/>
              <w:left w:w="120" w:type="dxa"/>
              <w:bottom w:w="100" w:type="dxa"/>
              <w:right w:w="120" w:type="dxa"/>
            </w:tcMar>
            <w:vAlign w:val="center"/>
          </w:tcPr>
          <w:p w14:paraId="23660F21" w14:textId="77777777" w:rsidR="00A050EE" w:rsidRPr="00AE6104" w:rsidRDefault="00000000">
            <w:pPr>
              <w:rPr>
                <w:sz w:val="24"/>
                <w:szCs w:val="24"/>
              </w:rPr>
            </w:pPr>
            <w:r w:rsidRPr="00AE6104">
              <w:t>Lower market volatility, but purchasing power remains exposed to inflation</w:t>
            </w:r>
          </w:p>
        </w:tc>
      </w:tr>
    </w:tbl>
    <w:p w14:paraId="65AA4E59" w14:textId="77777777" w:rsidR="00A050EE" w:rsidRPr="00AE6104" w:rsidRDefault="00000000">
      <w:pPr>
        <w:spacing w:after="160" w:line="300" w:lineRule="auto"/>
        <w:jc w:val="both"/>
        <w:rPr>
          <w:sz w:val="24"/>
          <w:szCs w:val="24"/>
        </w:rPr>
      </w:pPr>
      <w:r w:rsidRPr="00AE6104">
        <w:rPr>
          <w:sz w:val="24"/>
          <w:szCs w:val="24"/>
        </w:rPr>
        <w:t>The most important divide will be between households that can continue investing through weakness and households forced to liquidate assets to meet living expenses.</w:t>
      </w:r>
    </w:p>
    <w:p w14:paraId="518C8F50" w14:textId="77777777" w:rsidR="00A050EE" w:rsidRPr="00AE6104" w:rsidRDefault="00000000">
      <w:pPr>
        <w:pStyle w:val="Heading2"/>
        <w:spacing w:before="360" w:after="140"/>
        <w:rPr>
          <w:sz w:val="28"/>
          <w:szCs w:val="28"/>
        </w:rPr>
      </w:pPr>
      <w:r w:rsidRPr="00AE6104">
        <w:rPr>
          <w:b/>
          <w:bCs/>
          <w:color w:val="1B2A4A"/>
          <w:sz w:val="28"/>
          <w:szCs w:val="28"/>
        </w:rPr>
        <w:t>7. Public Dissatisfaction and Organized Protest Increase</w:t>
      </w:r>
    </w:p>
    <w:p w14:paraId="1862C7E2" w14:textId="77777777" w:rsidR="00A050EE" w:rsidRPr="00AE6104" w:rsidRDefault="00000000">
      <w:pPr>
        <w:spacing w:after="160" w:line="300" w:lineRule="auto"/>
        <w:jc w:val="both"/>
        <w:rPr>
          <w:sz w:val="24"/>
          <w:szCs w:val="24"/>
        </w:rPr>
      </w:pPr>
      <w:r w:rsidRPr="00AE6104">
        <w:rPr>
          <w:sz w:val="24"/>
          <w:szCs w:val="24"/>
        </w:rPr>
        <w:t>I expect more demonstrations, strikes, labor actions, and confrontations over government policy during 2027. Likely triggers include cost of living, immigration and enforcement, foreign wars, health-care access, layoffs connected to restructuring and automation, federal spending reductions, education policy, civil-service and institutional changes, and election investigations and executive-congressional conflict.</w:t>
      </w:r>
    </w:p>
    <w:p w14:paraId="209AD815" w14:textId="77777777" w:rsidR="00A050EE" w:rsidRPr="00AE6104" w:rsidRDefault="00000000">
      <w:pPr>
        <w:spacing w:after="160" w:line="300" w:lineRule="auto"/>
        <w:jc w:val="both"/>
        <w:rPr>
          <w:sz w:val="24"/>
          <w:szCs w:val="24"/>
        </w:rPr>
      </w:pPr>
      <w:r w:rsidRPr="00AE6104">
        <w:rPr>
          <w:sz w:val="24"/>
          <w:szCs w:val="24"/>
        </w:rPr>
        <w:t>This does not necessarily imply a single nationwide uprising. The more credible outcome is repeated, issue-specific unrest concentrated in major cities, state capitals, universities, ports, and government centers.</w:t>
      </w:r>
    </w:p>
    <w:p w14:paraId="6F607332" w14:textId="77777777" w:rsidR="00A050EE" w:rsidRPr="00AE6104" w:rsidRDefault="00000000">
      <w:pPr>
        <w:pStyle w:val="Heading2"/>
        <w:spacing w:before="360" w:after="140"/>
        <w:rPr>
          <w:sz w:val="28"/>
          <w:szCs w:val="28"/>
        </w:rPr>
      </w:pPr>
      <w:r w:rsidRPr="00AE6104">
        <w:rPr>
          <w:b/>
          <w:bCs/>
          <w:color w:val="1B2A4A"/>
          <w:sz w:val="28"/>
          <w:szCs w:val="28"/>
        </w:rPr>
        <w:t>8. The President Probably Remains in Office, but With Reduced Operating Freedom</w:t>
      </w:r>
    </w:p>
    <w:p w14:paraId="62302FA3" w14:textId="77777777" w:rsidR="00A050EE" w:rsidRPr="00AE6104" w:rsidRDefault="00000000">
      <w:pPr>
        <w:spacing w:after="160" w:line="300" w:lineRule="auto"/>
        <w:jc w:val="both"/>
        <w:rPr>
          <w:sz w:val="24"/>
          <w:szCs w:val="24"/>
        </w:rPr>
      </w:pPr>
      <w:r w:rsidRPr="00AE6104">
        <w:rPr>
          <w:sz w:val="24"/>
          <w:szCs w:val="24"/>
        </w:rPr>
        <w:t>My higher-confidence political conclusion is that the president remains in power through 2027. Congressional investigations, judicial disputes, public demonstrations, resignations, or a formal impeachment effort are possible. Actual removal requires a two-thirds Senate vote, which is a much higher barrier.</w:t>
      </w:r>
    </w:p>
    <w:p w14:paraId="6DA05E66" w14:textId="77777777" w:rsidR="00A050EE" w:rsidRPr="00AE6104" w:rsidRDefault="00000000">
      <w:pPr>
        <w:spacing w:after="160" w:line="300" w:lineRule="auto"/>
        <w:jc w:val="both"/>
        <w:rPr>
          <w:sz w:val="24"/>
          <w:szCs w:val="24"/>
        </w:rPr>
      </w:pPr>
      <w:r w:rsidRPr="00AE6104">
        <w:rPr>
          <w:sz w:val="24"/>
          <w:szCs w:val="24"/>
        </w:rPr>
        <w:t>The symbolic evidence indicates an executive facing liabilities, opposition, and hidden institutional conflict. It does not clearly show the executive office becoming vacant.</w:t>
      </w:r>
    </w:p>
    <w:p w14:paraId="3C525542" w14:textId="77777777" w:rsidR="00A050EE" w:rsidRPr="00AE6104" w:rsidRDefault="00000000">
      <w:pPr>
        <w:spacing w:before="240" w:after="100"/>
        <w:rPr>
          <w:sz w:val="24"/>
          <w:szCs w:val="24"/>
        </w:rPr>
      </w:pPr>
      <w:r w:rsidRPr="00AE6104">
        <w:rPr>
          <w:b/>
          <w:bCs/>
          <w:i/>
          <w:iCs/>
          <w:color w:val="8B6914"/>
          <w:sz w:val="24"/>
          <w:szCs w:val="24"/>
        </w:rPr>
        <w:t>Political Judgment</w:t>
      </w:r>
    </w:p>
    <w:p w14:paraId="3D9D9586" w14:textId="77777777" w:rsidR="00A050EE" w:rsidRPr="00AE6104" w:rsidRDefault="00000000">
      <w:pPr>
        <w:pStyle w:val="ListParagraph"/>
        <w:numPr>
          <w:ilvl w:val="0"/>
          <w:numId w:val="2"/>
        </w:numPr>
        <w:spacing w:after="100"/>
        <w:rPr>
          <w:sz w:val="24"/>
          <w:szCs w:val="24"/>
        </w:rPr>
      </w:pPr>
      <w:r w:rsidRPr="00AE6104">
        <w:rPr>
          <w:sz w:val="24"/>
          <w:szCs w:val="24"/>
        </w:rPr>
        <w:t>Remains president: moderately high confidence</w:t>
      </w:r>
    </w:p>
    <w:p w14:paraId="617E19A2" w14:textId="77777777" w:rsidR="00A050EE" w:rsidRPr="00AE6104" w:rsidRDefault="00000000">
      <w:pPr>
        <w:pStyle w:val="ListParagraph"/>
        <w:numPr>
          <w:ilvl w:val="0"/>
          <w:numId w:val="2"/>
        </w:numPr>
        <w:spacing w:after="100"/>
        <w:rPr>
          <w:sz w:val="24"/>
          <w:szCs w:val="24"/>
        </w:rPr>
      </w:pPr>
      <w:r w:rsidRPr="00AE6104">
        <w:rPr>
          <w:sz w:val="24"/>
          <w:szCs w:val="24"/>
        </w:rPr>
        <w:t>Investigated or subjected to formal proceedings: meaningful probability</w:t>
      </w:r>
    </w:p>
    <w:p w14:paraId="3DAA4188" w14:textId="77777777" w:rsidR="00A050EE" w:rsidRPr="00AE6104" w:rsidRDefault="00000000">
      <w:pPr>
        <w:pStyle w:val="ListParagraph"/>
        <w:numPr>
          <w:ilvl w:val="0"/>
          <w:numId w:val="2"/>
        </w:numPr>
        <w:spacing w:after="100"/>
        <w:rPr>
          <w:sz w:val="24"/>
          <w:szCs w:val="24"/>
        </w:rPr>
      </w:pPr>
      <w:r w:rsidRPr="00AE6104">
        <w:rPr>
          <w:sz w:val="24"/>
          <w:szCs w:val="24"/>
        </w:rPr>
        <w:t>Impeached by the House: approximately even odds, and only if Democrats gain control</w:t>
      </w:r>
    </w:p>
    <w:p w14:paraId="47A0C48A" w14:textId="77777777" w:rsidR="00A050EE" w:rsidRPr="00AE6104" w:rsidRDefault="00000000">
      <w:pPr>
        <w:pStyle w:val="ListParagraph"/>
        <w:numPr>
          <w:ilvl w:val="0"/>
          <w:numId w:val="2"/>
        </w:numPr>
        <w:spacing w:after="100"/>
        <w:rPr>
          <w:sz w:val="24"/>
          <w:szCs w:val="24"/>
        </w:rPr>
      </w:pPr>
      <w:r w:rsidRPr="00AE6104">
        <w:rPr>
          <w:sz w:val="24"/>
          <w:szCs w:val="24"/>
        </w:rPr>
        <w:t>Removed by the Senate: unlikely</w:t>
      </w:r>
    </w:p>
    <w:p w14:paraId="7DA0BC91" w14:textId="77777777" w:rsidR="00A050EE" w:rsidRPr="00AE6104" w:rsidRDefault="00000000">
      <w:pPr>
        <w:pStyle w:val="Heading2"/>
        <w:spacing w:before="360" w:after="140"/>
        <w:rPr>
          <w:sz w:val="28"/>
          <w:szCs w:val="28"/>
        </w:rPr>
      </w:pPr>
      <w:r w:rsidRPr="00AE6104">
        <w:rPr>
          <w:b/>
          <w:bCs/>
          <w:color w:val="1B2A4A"/>
          <w:sz w:val="28"/>
          <w:szCs w:val="28"/>
        </w:rPr>
        <w:t>9. Iran Remains an Economic and Military Risk Throughout 2027</w:t>
      </w:r>
    </w:p>
    <w:p w14:paraId="1A6F1019" w14:textId="77777777" w:rsidR="00A050EE" w:rsidRPr="00AE6104" w:rsidRDefault="00000000">
      <w:pPr>
        <w:spacing w:after="160" w:line="300" w:lineRule="auto"/>
        <w:jc w:val="both"/>
        <w:rPr>
          <w:sz w:val="24"/>
          <w:szCs w:val="24"/>
        </w:rPr>
      </w:pPr>
      <w:r w:rsidRPr="00AE6104">
        <w:rPr>
          <w:sz w:val="24"/>
          <w:szCs w:val="24"/>
        </w:rPr>
        <w:lastRenderedPageBreak/>
        <w:t>The Iran conflict is unlikely to produce a clean, final settlement. Temporary agreements may reduce direct fighting, but shipping, allied militias, sanctions, nuclear negotiations, Israel, and regional energy infrastructure remain sources of renewed escalation.</w:t>
      </w:r>
    </w:p>
    <w:p w14:paraId="31C947A7" w14:textId="77777777" w:rsidR="00A050EE" w:rsidRPr="00AE6104" w:rsidRDefault="00000000">
      <w:pPr>
        <w:spacing w:after="160" w:line="300" w:lineRule="auto"/>
        <w:jc w:val="both"/>
        <w:rPr>
          <w:sz w:val="24"/>
          <w:szCs w:val="24"/>
        </w:rPr>
      </w:pPr>
      <w:r w:rsidRPr="00AE6104">
        <w:rPr>
          <w:sz w:val="24"/>
          <w:szCs w:val="24"/>
        </w:rPr>
        <w:t xml:space="preserve">Treasury reported that the Iran conflict and energy prices had become dominant market influences during 2026. It described the ceasefire as fragile and shipping through the Strait of Hormuz as remaining below normal. (Source: </w:t>
      </w:r>
      <w:hyperlink r:id="rId15" w:history="1">
        <w:r w:rsidRPr="00AE6104">
          <w:rPr>
            <w:color w:val="8B6914"/>
            <w:sz w:val="24"/>
            <w:szCs w:val="24"/>
            <w:u w:val="single"/>
          </w:rPr>
          <w:t>Treasury's August assessment</w:t>
        </w:r>
      </w:hyperlink>
      <w:r w:rsidRPr="00AE6104">
        <w:rPr>
          <w:sz w:val="24"/>
          <w:szCs w:val="24"/>
        </w:rPr>
        <w:t>)</w:t>
      </w:r>
    </w:p>
    <w:p w14:paraId="11CEB0D4" w14:textId="77777777" w:rsidR="00A050EE" w:rsidRPr="00AE6104" w:rsidRDefault="00000000">
      <w:pPr>
        <w:spacing w:before="240" w:after="100"/>
        <w:rPr>
          <w:sz w:val="24"/>
          <w:szCs w:val="24"/>
        </w:rPr>
      </w:pPr>
      <w:r w:rsidRPr="00AE6104">
        <w:rPr>
          <w:b/>
          <w:bCs/>
          <w:i/>
          <w:iCs/>
          <w:color w:val="8B6914"/>
          <w:sz w:val="24"/>
          <w:szCs w:val="24"/>
        </w:rPr>
        <w:t>Investment Effects</w:t>
      </w:r>
    </w:p>
    <w:p w14:paraId="416282B7" w14:textId="77777777" w:rsidR="00A050EE" w:rsidRPr="00AE6104" w:rsidRDefault="00000000">
      <w:pPr>
        <w:spacing w:after="160" w:line="300" w:lineRule="auto"/>
        <w:jc w:val="both"/>
        <w:rPr>
          <w:sz w:val="24"/>
          <w:szCs w:val="24"/>
        </w:rPr>
      </w:pPr>
      <w:r w:rsidRPr="00AE6104">
        <w:rPr>
          <w:b/>
          <w:bCs/>
          <w:sz w:val="24"/>
          <w:szCs w:val="24"/>
        </w:rPr>
        <w:t xml:space="preserve">Potential beneficiaries: </w:t>
      </w:r>
      <w:r w:rsidRPr="00AE6104">
        <w:rPr>
          <w:sz w:val="24"/>
          <w:szCs w:val="24"/>
        </w:rPr>
        <w:t>domestic energy producers, refiners, defense contractors, cybersecurity, shipping alternatives, pipelines, and strategic commodity suppliers.</w:t>
      </w:r>
    </w:p>
    <w:p w14:paraId="7B3D8E2E" w14:textId="77777777" w:rsidR="00A050EE" w:rsidRPr="00AE6104" w:rsidRDefault="00000000">
      <w:pPr>
        <w:spacing w:after="160" w:line="300" w:lineRule="auto"/>
        <w:jc w:val="both"/>
        <w:rPr>
          <w:sz w:val="24"/>
          <w:szCs w:val="24"/>
        </w:rPr>
      </w:pPr>
      <w:r w:rsidRPr="00AE6104">
        <w:rPr>
          <w:b/>
          <w:bCs/>
          <w:sz w:val="24"/>
          <w:szCs w:val="24"/>
        </w:rPr>
        <w:t xml:space="preserve">Potential losers: </w:t>
      </w:r>
      <w:r w:rsidRPr="00AE6104">
        <w:rPr>
          <w:sz w:val="24"/>
          <w:szCs w:val="24"/>
        </w:rPr>
        <w:t>airlines, trucking, agriculture, chemical producers, low-margin retailers, lower-income consumers, and countries dependent on imported energy.</w:t>
      </w:r>
    </w:p>
    <w:p w14:paraId="0384638A" w14:textId="77777777" w:rsidR="00A050EE" w:rsidRPr="00AE6104" w:rsidRDefault="00000000">
      <w:pPr>
        <w:spacing w:after="160" w:line="300" w:lineRule="auto"/>
        <w:jc w:val="both"/>
        <w:rPr>
          <w:sz w:val="24"/>
          <w:szCs w:val="24"/>
        </w:rPr>
      </w:pPr>
      <w:r w:rsidRPr="00AE6104">
        <w:rPr>
          <w:sz w:val="24"/>
          <w:szCs w:val="24"/>
        </w:rPr>
        <w:t>I am confident the risk persists. I am not confident enough to predict a specific declaration of war, invasion, or peace treaty.</w:t>
      </w:r>
    </w:p>
    <w:p w14:paraId="08EB5D1C" w14:textId="77777777" w:rsidR="00A050EE" w:rsidRPr="00AE6104" w:rsidRDefault="00000000">
      <w:pPr>
        <w:pStyle w:val="Heading2"/>
        <w:spacing w:before="360" w:after="140"/>
        <w:rPr>
          <w:sz w:val="28"/>
          <w:szCs w:val="28"/>
        </w:rPr>
      </w:pPr>
      <w:r w:rsidRPr="00AE6104">
        <w:rPr>
          <w:b/>
          <w:bCs/>
          <w:color w:val="1B2A4A"/>
          <w:sz w:val="28"/>
          <w:szCs w:val="28"/>
        </w:rPr>
        <w:t>10. China and Russia Remain Strategic Conflicts, Not Central Cases for Direct War With the United States</w:t>
      </w:r>
    </w:p>
    <w:p w14:paraId="485FA295" w14:textId="77777777" w:rsidR="00A050EE" w:rsidRPr="00AE6104" w:rsidRDefault="00000000">
      <w:pPr>
        <w:spacing w:before="240" w:after="100"/>
        <w:rPr>
          <w:sz w:val="24"/>
          <w:szCs w:val="24"/>
        </w:rPr>
      </w:pPr>
      <w:r w:rsidRPr="00AE6104">
        <w:rPr>
          <w:b/>
          <w:bCs/>
          <w:i/>
          <w:iCs/>
          <w:color w:val="8B6914"/>
          <w:sz w:val="24"/>
          <w:szCs w:val="24"/>
        </w:rPr>
        <w:t>China</w:t>
      </w:r>
    </w:p>
    <w:p w14:paraId="17ED1CCD" w14:textId="77777777" w:rsidR="00A050EE" w:rsidRPr="00AE6104" w:rsidRDefault="00000000">
      <w:pPr>
        <w:spacing w:after="160" w:line="300" w:lineRule="auto"/>
        <w:jc w:val="both"/>
        <w:rPr>
          <w:sz w:val="24"/>
          <w:szCs w:val="24"/>
        </w:rPr>
      </w:pPr>
      <w:r w:rsidRPr="00AE6104">
        <w:rPr>
          <w:sz w:val="24"/>
          <w:szCs w:val="24"/>
        </w:rPr>
        <w:t>The most likely confrontation remains economic and technological: semiconductor restrictions, trade barriers, critical-mineral competition, cyber operations, Taiwan-related military pressure, industrial subsidies, and competition for influence in developing economies. A direct US-China war is not my central 2027 forecast. The more probable outcome is coercion below the threshold of general war.</w:t>
      </w:r>
    </w:p>
    <w:p w14:paraId="7E76A2CF" w14:textId="77777777" w:rsidR="00A050EE" w:rsidRPr="00AE6104" w:rsidRDefault="00000000">
      <w:pPr>
        <w:spacing w:before="240" w:after="100"/>
        <w:rPr>
          <w:sz w:val="24"/>
          <w:szCs w:val="24"/>
        </w:rPr>
      </w:pPr>
      <w:r w:rsidRPr="00AE6104">
        <w:rPr>
          <w:b/>
          <w:bCs/>
          <w:i/>
          <w:iCs/>
          <w:color w:val="8B6914"/>
          <w:sz w:val="24"/>
          <w:szCs w:val="24"/>
        </w:rPr>
        <w:t>Russia</w:t>
      </w:r>
    </w:p>
    <w:p w14:paraId="2850E433" w14:textId="77777777" w:rsidR="00A050EE" w:rsidRPr="00AE6104" w:rsidRDefault="00000000">
      <w:pPr>
        <w:spacing w:after="160" w:line="300" w:lineRule="auto"/>
        <w:jc w:val="both"/>
        <w:rPr>
          <w:sz w:val="24"/>
          <w:szCs w:val="24"/>
        </w:rPr>
      </w:pPr>
      <w:r w:rsidRPr="00AE6104">
        <w:rPr>
          <w:sz w:val="24"/>
          <w:szCs w:val="24"/>
        </w:rPr>
        <w:t>The Russia-Ukraine conflict and sanctions confrontation are likely to continue in some form. Russia's relationship with China, Iran, and other non-Western economies reduces the effectiveness of complete financial isolation. A direct US-Russia war is not indicated strongly enough to include as a forecast. Cyber incidents, sabotage allegations, proxy escalation, and energy-market disruptions are more credible.</w:t>
      </w:r>
    </w:p>
    <w:p w14:paraId="424F3BE3" w14:textId="77777777" w:rsidR="00A050EE" w:rsidRPr="00AE6104" w:rsidRDefault="00000000">
      <w:pPr>
        <w:rPr>
          <w:sz w:val="24"/>
          <w:szCs w:val="24"/>
        </w:rPr>
      </w:pPr>
      <w:r w:rsidRPr="00AE6104">
        <w:rPr>
          <w:sz w:val="24"/>
          <w:szCs w:val="24"/>
        </w:rPr>
        <w:br w:type="page"/>
      </w:r>
    </w:p>
    <w:p w14:paraId="74B9589D" w14:textId="77777777" w:rsidR="00A050EE" w:rsidRPr="00AE6104" w:rsidRDefault="00000000">
      <w:pPr>
        <w:pStyle w:val="Heading1"/>
        <w:pBdr>
          <w:bottom w:val="single" w:sz="8" w:space="4" w:color="B8860B"/>
        </w:pBdr>
        <w:spacing w:before="480" w:after="200"/>
        <w:rPr>
          <w:sz w:val="36"/>
          <w:szCs w:val="36"/>
        </w:rPr>
      </w:pPr>
      <w:r w:rsidRPr="00AE6104">
        <w:rPr>
          <w:b/>
          <w:bCs/>
          <w:color w:val="1B2A4A"/>
        </w:rPr>
        <w:lastRenderedPageBreak/>
        <w:t>PART II — GENUINE 50/50 OUTCOMES</w:t>
      </w:r>
    </w:p>
    <w:p w14:paraId="0589877C" w14:textId="77777777" w:rsidR="00A050EE" w:rsidRPr="00AE6104" w:rsidRDefault="00000000">
      <w:pPr>
        <w:spacing w:after="160" w:line="300" w:lineRule="auto"/>
        <w:jc w:val="both"/>
        <w:rPr>
          <w:sz w:val="24"/>
          <w:szCs w:val="24"/>
        </w:rPr>
      </w:pPr>
      <w:r w:rsidRPr="00AE6104">
        <w:rPr>
          <w:sz w:val="24"/>
          <w:szCs w:val="24"/>
        </w:rPr>
        <w:t>These are serious possibilities, but the evidence is balanced or dependent on a second event.</w:t>
      </w:r>
    </w:p>
    <w:p w14:paraId="081F4AAF" w14:textId="77777777" w:rsidR="00A050EE" w:rsidRPr="00AE6104" w:rsidRDefault="00000000">
      <w:pPr>
        <w:pStyle w:val="Heading2"/>
        <w:spacing w:before="360" w:after="140"/>
        <w:rPr>
          <w:sz w:val="28"/>
          <w:szCs w:val="28"/>
        </w:rPr>
      </w:pPr>
      <w:r w:rsidRPr="00AE6104">
        <w:rPr>
          <w:b/>
          <w:bCs/>
          <w:color w:val="1B2A4A"/>
          <w:sz w:val="28"/>
          <w:szCs w:val="28"/>
        </w:rPr>
        <w:t>1. Control of the House of Representatives</w:t>
      </w:r>
    </w:p>
    <w:p w14:paraId="3380DC9D" w14:textId="77777777" w:rsidR="00A050EE" w:rsidRPr="00AE6104" w:rsidRDefault="00000000">
      <w:pPr>
        <w:spacing w:after="160" w:line="300" w:lineRule="auto"/>
        <w:jc w:val="both"/>
        <w:rPr>
          <w:sz w:val="24"/>
          <w:szCs w:val="24"/>
        </w:rPr>
      </w:pPr>
      <w:r w:rsidRPr="00AE6104">
        <w:rPr>
          <w:b/>
          <w:bCs/>
          <w:sz w:val="24"/>
          <w:szCs w:val="24"/>
        </w:rPr>
        <w:t xml:space="preserve">Lean: </w:t>
      </w:r>
      <w:r w:rsidRPr="00AE6104">
        <w:rPr>
          <w:sz w:val="24"/>
          <w:szCs w:val="24"/>
        </w:rPr>
        <w:t>Democratic control, approximately 55% to 60%.</w:t>
      </w:r>
    </w:p>
    <w:p w14:paraId="719C3FFC" w14:textId="77777777" w:rsidR="00A050EE" w:rsidRPr="00AE6104" w:rsidRDefault="00000000">
      <w:pPr>
        <w:spacing w:after="160" w:line="300" w:lineRule="auto"/>
        <w:jc w:val="both"/>
        <w:rPr>
          <w:sz w:val="24"/>
          <w:szCs w:val="24"/>
        </w:rPr>
      </w:pPr>
      <w:r w:rsidRPr="00AE6104">
        <w:rPr>
          <w:sz w:val="24"/>
          <w:szCs w:val="24"/>
        </w:rPr>
        <w:t xml:space="preserve">Republicans currently control the House narrowly. With a small majority, modest electoral movement can change control. Contemporary election models have generally treated Democrats as slightly favored in the House, while recognizing a close contest. Republicans entered the election with an effective 219-seat alignment against 212 Democrats and four vacancies. (Sources: </w:t>
      </w:r>
      <w:hyperlink r:id="rId16" w:history="1">
        <w:r w:rsidRPr="00AE6104">
          <w:rPr>
            <w:color w:val="8B6914"/>
            <w:sz w:val="24"/>
            <w:szCs w:val="24"/>
            <w:u w:val="single"/>
          </w:rPr>
          <w:t>Ballotpedia congressional balance</w:t>
        </w:r>
      </w:hyperlink>
      <w:r w:rsidRPr="00AE6104">
        <w:rPr>
          <w:sz w:val="24"/>
          <w:szCs w:val="24"/>
        </w:rPr>
        <w:t xml:space="preserve">; </w:t>
      </w:r>
      <w:hyperlink r:id="rId17" w:history="1">
        <w:r w:rsidRPr="00AE6104">
          <w:rPr>
            <w:color w:val="8B6914"/>
            <w:sz w:val="24"/>
            <w:szCs w:val="24"/>
            <w:u w:val="single"/>
          </w:rPr>
          <w:t>Decision Desk outlook</w:t>
        </w:r>
      </w:hyperlink>
      <w:r w:rsidRPr="00AE6104">
        <w:rPr>
          <w:sz w:val="24"/>
          <w:szCs w:val="24"/>
        </w:rPr>
        <w:t>)</w:t>
      </w:r>
    </w:p>
    <w:p w14:paraId="124F954B" w14:textId="77777777" w:rsidR="00A050EE" w:rsidRPr="00AE6104" w:rsidRDefault="00000000">
      <w:pPr>
        <w:spacing w:after="160" w:line="300" w:lineRule="auto"/>
        <w:jc w:val="both"/>
        <w:rPr>
          <w:sz w:val="24"/>
          <w:szCs w:val="24"/>
        </w:rPr>
      </w:pPr>
      <w:r w:rsidRPr="00AE6104">
        <w:rPr>
          <w:sz w:val="24"/>
          <w:szCs w:val="24"/>
        </w:rPr>
        <w:t>The annual pattern favors stronger organized opposition and reduced freedom for the executive, which fits a divided-government outcome. However, redistricting, candidate quality, turnout, and late economic news prevent a high-confidence call.</w:t>
      </w:r>
    </w:p>
    <w:p w14:paraId="121F23B5" w14:textId="77777777" w:rsidR="00A050EE" w:rsidRPr="00AE6104" w:rsidRDefault="00000000">
      <w:pPr>
        <w:spacing w:after="160" w:line="300" w:lineRule="auto"/>
        <w:jc w:val="both"/>
        <w:rPr>
          <w:sz w:val="24"/>
          <w:szCs w:val="24"/>
        </w:rPr>
      </w:pPr>
      <w:r w:rsidRPr="00AE6104">
        <w:rPr>
          <w:b/>
          <w:bCs/>
          <w:sz w:val="24"/>
          <w:szCs w:val="24"/>
        </w:rPr>
        <w:t xml:space="preserve">Market effect of a Democratic House: </w:t>
      </w:r>
      <w:r w:rsidRPr="00AE6104">
        <w:rPr>
          <w:sz w:val="24"/>
          <w:szCs w:val="24"/>
        </w:rPr>
        <w:t>more investigations, legislative gridlock, reduced probability of major new tax legislation, and greater headline volatility.</w:t>
      </w:r>
    </w:p>
    <w:p w14:paraId="4FA998D7" w14:textId="77777777" w:rsidR="00A050EE" w:rsidRPr="00AE6104" w:rsidRDefault="00000000">
      <w:pPr>
        <w:pStyle w:val="Heading2"/>
        <w:spacing w:before="360" w:after="140"/>
        <w:rPr>
          <w:sz w:val="28"/>
          <w:szCs w:val="28"/>
        </w:rPr>
      </w:pPr>
      <w:r w:rsidRPr="00AE6104">
        <w:rPr>
          <w:b/>
          <w:bCs/>
          <w:color w:val="1B2A4A"/>
          <w:sz w:val="28"/>
          <w:szCs w:val="28"/>
        </w:rPr>
        <w:t>2. Control of the Senate</w:t>
      </w:r>
    </w:p>
    <w:p w14:paraId="385951E3" w14:textId="77777777" w:rsidR="00A050EE" w:rsidRPr="00AE6104" w:rsidRDefault="00000000">
      <w:pPr>
        <w:spacing w:after="160" w:line="300" w:lineRule="auto"/>
        <w:jc w:val="both"/>
        <w:rPr>
          <w:sz w:val="24"/>
          <w:szCs w:val="24"/>
        </w:rPr>
      </w:pPr>
      <w:r w:rsidRPr="00AE6104">
        <w:rPr>
          <w:b/>
          <w:bCs/>
          <w:sz w:val="24"/>
          <w:szCs w:val="24"/>
        </w:rPr>
        <w:t xml:space="preserve">Lean: </w:t>
      </w:r>
      <w:r w:rsidRPr="00AE6104">
        <w:rPr>
          <w:sz w:val="24"/>
          <w:szCs w:val="24"/>
        </w:rPr>
        <w:t>Republicans retain control, approximately 55% to 60%.</w:t>
      </w:r>
    </w:p>
    <w:p w14:paraId="55A74CE0" w14:textId="77777777" w:rsidR="00A050EE" w:rsidRPr="00AE6104" w:rsidRDefault="00000000">
      <w:pPr>
        <w:spacing w:after="160" w:line="300" w:lineRule="auto"/>
        <w:jc w:val="both"/>
        <w:rPr>
          <w:sz w:val="24"/>
          <w:szCs w:val="24"/>
        </w:rPr>
      </w:pPr>
      <w:r w:rsidRPr="00AE6104">
        <w:rPr>
          <w:sz w:val="24"/>
          <w:szCs w:val="24"/>
        </w:rPr>
        <w:t xml:space="preserve">Republicans hold 53 seats. Democrats need a net gain of four seats to control the chamber, assuming no change in vice-presidential tie-breaking. Thirty-five seats are being contested, including special elections, with 23 currently held by Republicans. (Source: </w:t>
      </w:r>
      <w:hyperlink r:id="rId18" w:history="1">
        <w:r w:rsidRPr="00AE6104">
          <w:rPr>
            <w:color w:val="8B6914"/>
            <w:sz w:val="24"/>
            <w:szCs w:val="24"/>
            <w:u w:val="single"/>
          </w:rPr>
          <w:t>2026 Senate map overview</w:t>
        </w:r>
      </w:hyperlink>
      <w:r w:rsidRPr="00AE6104">
        <w:rPr>
          <w:sz w:val="24"/>
          <w:szCs w:val="24"/>
        </w:rPr>
        <w:t>)</w:t>
      </w:r>
    </w:p>
    <w:p w14:paraId="0E3D1E4C" w14:textId="77777777" w:rsidR="00A050EE" w:rsidRPr="00AE6104" w:rsidRDefault="00000000">
      <w:pPr>
        <w:spacing w:after="160" w:line="300" w:lineRule="auto"/>
        <w:jc w:val="both"/>
        <w:rPr>
          <w:sz w:val="24"/>
          <w:szCs w:val="24"/>
        </w:rPr>
      </w:pPr>
      <w:r w:rsidRPr="00AE6104">
        <w:rPr>
          <w:sz w:val="24"/>
          <w:szCs w:val="24"/>
        </w:rPr>
        <w:t>The map offers Democrats opportunities, but gaining four seats while defending their own vulnerable territory remains difficult.</w:t>
      </w:r>
    </w:p>
    <w:p w14:paraId="59BFF2D2" w14:textId="77777777" w:rsidR="00A050EE" w:rsidRPr="00AE6104" w:rsidRDefault="00000000">
      <w:pPr>
        <w:spacing w:after="160" w:line="300" w:lineRule="auto"/>
        <w:jc w:val="both"/>
        <w:rPr>
          <w:sz w:val="24"/>
          <w:szCs w:val="24"/>
        </w:rPr>
      </w:pPr>
      <w:r w:rsidRPr="00AE6104">
        <w:rPr>
          <w:b/>
          <w:bCs/>
          <w:sz w:val="24"/>
          <w:szCs w:val="24"/>
        </w:rPr>
        <w:t xml:space="preserve">Most credible combined result: </w:t>
      </w:r>
      <w:r w:rsidRPr="00AE6104">
        <w:rPr>
          <w:sz w:val="24"/>
          <w:szCs w:val="24"/>
        </w:rPr>
        <w:t>a Democratic House and a Republican Senate. That outcome would create aggressive oversight and legislative paralysis, but it would also reduce the probability of rapid, sweeping policy changes. Markets might dislike the conflict while appreciating the inability of either side to enact its entire agenda.</w:t>
      </w:r>
    </w:p>
    <w:p w14:paraId="33D33862" w14:textId="77777777" w:rsidR="00A050EE" w:rsidRPr="00AE6104" w:rsidRDefault="00000000">
      <w:pPr>
        <w:pStyle w:val="Heading2"/>
        <w:spacing w:before="360" w:after="140"/>
        <w:rPr>
          <w:sz w:val="28"/>
          <w:szCs w:val="28"/>
        </w:rPr>
      </w:pPr>
      <w:r w:rsidRPr="00AE6104">
        <w:rPr>
          <w:b/>
          <w:bCs/>
          <w:color w:val="1B2A4A"/>
          <w:sz w:val="28"/>
          <w:szCs w:val="28"/>
        </w:rPr>
        <w:t>3. Formal Impeachment</w:t>
      </w:r>
    </w:p>
    <w:p w14:paraId="4926D620" w14:textId="77777777" w:rsidR="00A050EE" w:rsidRPr="00AE6104" w:rsidRDefault="00000000">
      <w:pPr>
        <w:spacing w:after="160" w:line="300" w:lineRule="auto"/>
        <w:jc w:val="both"/>
        <w:rPr>
          <w:sz w:val="24"/>
          <w:szCs w:val="24"/>
        </w:rPr>
      </w:pPr>
      <w:r w:rsidRPr="00AE6104">
        <w:rPr>
          <w:sz w:val="24"/>
          <w:szCs w:val="24"/>
        </w:rPr>
        <w:t>Formal House impeachment is close to even odds only if Democrats capture the House and if a sufficiently serious investigation produces a unified caucus. Impeachment is not the same as removal. Investors should distinguish among hearings, subpoenas, articles of impeachment, a House vote, a Senate trial, and actual removal.</w:t>
      </w:r>
    </w:p>
    <w:p w14:paraId="71F17140" w14:textId="77777777" w:rsidR="00A050EE" w:rsidRPr="00AE6104" w:rsidRDefault="00000000">
      <w:pPr>
        <w:spacing w:after="160" w:line="300" w:lineRule="auto"/>
        <w:jc w:val="both"/>
        <w:rPr>
          <w:sz w:val="24"/>
          <w:szCs w:val="24"/>
        </w:rPr>
      </w:pPr>
      <w:r w:rsidRPr="00AE6104">
        <w:rPr>
          <w:sz w:val="24"/>
          <w:szCs w:val="24"/>
        </w:rPr>
        <w:lastRenderedPageBreak/>
        <w:t>The market effect would probably be episodic volatility rather than an automatic crash unless the process coincides with war, recession, or a constitutional crisis.</w:t>
      </w:r>
    </w:p>
    <w:p w14:paraId="5692861B" w14:textId="77777777" w:rsidR="00A050EE" w:rsidRPr="00AE6104" w:rsidRDefault="00000000">
      <w:pPr>
        <w:pStyle w:val="Heading2"/>
        <w:spacing w:before="360" w:after="140"/>
        <w:rPr>
          <w:sz w:val="28"/>
          <w:szCs w:val="28"/>
        </w:rPr>
      </w:pPr>
      <w:r w:rsidRPr="00AE6104">
        <w:rPr>
          <w:b/>
          <w:bCs/>
          <w:color w:val="1B2A4A"/>
          <w:sz w:val="28"/>
          <w:szCs w:val="28"/>
        </w:rPr>
        <w:t>4. Mild Recession Versus Stagnation Without Recession</w:t>
      </w:r>
    </w:p>
    <w:p w14:paraId="4E2F9C57" w14:textId="77777777" w:rsidR="00A050EE" w:rsidRPr="00AE6104" w:rsidRDefault="00000000">
      <w:pPr>
        <w:spacing w:after="160" w:line="300" w:lineRule="auto"/>
        <w:jc w:val="both"/>
        <w:rPr>
          <w:sz w:val="24"/>
          <w:szCs w:val="24"/>
        </w:rPr>
      </w:pPr>
      <w:r w:rsidRPr="00AE6104">
        <w:rPr>
          <w:sz w:val="24"/>
          <w:szCs w:val="24"/>
        </w:rPr>
        <w:t>The distinction is approximately even odds.</w:t>
      </w:r>
    </w:p>
    <w:p w14:paraId="138D89FA" w14:textId="77777777" w:rsidR="00A050EE" w:rsidRPr="00AE6104" w:rsidRDefault="00000000">
      <w:pPr>
        <w:spacing w:after="160" w:line="300" w:lineRule="auto"/>
        <w:jc w:val="both"/>
        <w:rPr>
          <w:sz w:val="24"/>
          <w:szCs w:val="24"/>
        </w:rPr>
      </w:pPr>
      <w:r w:rsidRPr="00AE6104">
        <w:rPr>
          <w:sz w:val="24"/>
          <w:szCs w:val="24"/>
        </w:rPr>
        <w:t>The economy could enter a technical recession because of high energy prices, tight credit, weak consumer purchasing power, government-spending cuts, AI-related restructuring, or falling residential or commercial investment. It could also avoid recession because of AI capital spending, defense expenditure, energy production, infrastructure projects, continued consumer spending by wealthier households, and government intervention.</w:t>
      </w:r>
    </w:p>
    <w:p w14:paraId="37F30387" w14:textId="77777777" w:rsidR="00A050EE" w:rsidRPr="00AE6104" w:rsidRDefault="00000000">
      <w:pPr>
        <w:spacing w:after="160" w:line="300" w:lineRule="auto"/>
        <w:jc w:val="both"/>
        <w:rPr>
          <w:sz w:val="24"/>
          <w:szCs w:val="24"/>
        </w:rPr>
      </w:pPr>
      <w:r w:rsidRPr="00AE6104">
        <w:rPr>
          <w:sz w:val="24"/>
          <w:szCs w:val="24"/>
        </w:rPr>
        <w:t>My practical conclusion is the same under either scenario: aggregate growth will conceal significant weakness among lower-income households and interest-sensitive businesses.</w:t>
      </w:r>
    </w:p>
    <w:p w14:paraId="00DB255E" w14:textId="77777777" w:rsidR="00A050EE" w:rsidRPr="00AE6104" w:rsidRDefault="00000000">
      <w:pPr>
        <w:pStyle w:val="Heading2"/>
        <w:spacing w:before="360" w:after="140"/>
        <w:rPr>
          <w:sz w:val="28"/>
          <w:szCs w:val="28"/>
        </w:rPr>
      </w:pPr>
      <w:r w:rsidRPr="00AE6104">
        <w:rPr>
          <w:b/>
          <w:bCs/>
          <w:color w:val="1B2A4A"/>
          <w:sz w:val="28"/>
          <w:szCs w:val="28"/>
        </w:rPr>
        <w:t>5. Whether 2027 Ends With the Stock Market Higher or Lower</w:t>
      </w:r>
    </w:p>
    <w:p w14:paraId="72353A06" w14:textId="77777777" w:rsidR="00A050EE" w:rsidRPr="00AE6104" w:rsidRDefault="00000000">
      <w:pPr>
        <w:spacing w:after="160" w:line="300" w:lineRule="auto"/>
        <w:jc w:val="both"/>
        <w:rPr>
          <w:sz w:val="24"/>
          <w:szCs w:val="24"/>
        </w:rPr>
      </w:pPr>
      <w:r w:rsidRPr="00AE6104">
        <w:rPr>
          <w:sz w:val="24"/>
          <w:szCs w:val="24"/>
        </w:rPr>
        <w:t>A substantial correction during the year is more likely than not. The year-end result is approximately even odds.</w:t>
      </w:r>
    </w:p>
    <w:p w14:paraId="7EFFDED4" w14:textId="77777777" w:rsidR="00A050EE" w:rsidRPr="00AE6104" w:rsidRDefault="00000000">
      <w:pPr>
        <w:spacing w:after="160" w:line="300" w:lineRule="auto"/>
        <w:jc w:val="both"/>
        <w:rPr>
          <w:sz w:val="24"/>
          <w:szCs w:val="24"/>
        </w:rPr>
      </w:pPr>
      <w:r w:rsidRPr="00AE6104">
        <w:rPr>
          <w:sz w:val="24"/>
          <w:szCs w:val="24"/>
        </w:rPr>
        <w:t>A plausible path is continued strength or new highs early in the year, narrowing market leadership, increasing volatility during spring and summer, a more serious correction in autumn, and intervention, rotation, or partial recovery before year-end.</w:t>
      </w:r>
    </w:p>
    <w:p w14:paraId="391470EA" w14:textId="77777777" w:rsidR="00A050EE" w:rsidRPr="00AE6104" w:rsidRDefault="00000000">
      <w:pPr>
        <w:spacing w:after="160" w:line="300" w:lineRule="auto"/>
        <w:jc w:val="both"/>
        <w:rPr>
          <w:sz w:val="24"/>
          <w:szCs w:val="24"/>
        </w:rPr>
      </w:pPr>
      <w:r w:rsidRPr="00AE6104">
        <w:rPr>
          <w:sz w:val="24"/>
          <w:szCs w:val="24"/>
        </w:rPr>
        <w:t>The market could therefore experience a fifteen percent decline and still finish the year only modestly lower, flat, or even slightly higher. This is why the maximum decline during the year is a more useful prediction than the December-to-December return.</w:t>
      </w:r>
    </w:p>
    <w:p w14:paraId="603C8B43" w14:textId="77777777" w:rsidR="00A050EE" w:rsidRPr="00AE6104" w:rsidRDefault="00000000">
      <w:pPr>
        <w:pStyle w:val="Heading2"/>
        <w:spacing w:before="360" w:after="140"/>
        <w:rPr>
          <w:sz w:val="28"/>
          <w:szCs w:val="28"/>
        </w:rPr>
      </w:pPr>
      <w:r w:rsidRPr="00AE6104">
        <w:rPr>
          <w:b/>
          <w:bCs/>
          <w:color w:val="1B2A4A"/>
          <w:sz w:val="28"/>
          <w:szCs w:val="28"/>
        </w:rPr>
        <w:t>6. Timing of the Largest Market Break</w:t>
      </w:r>
    </w:p>
    <w:p w14:paraId="0DB76368" w14:textId="77777777" w:rsidR="00A050EE" w:rsidRPr="00AE6104" w:rsidRDefault="00000000">
      <w:pPr>
        <w:spacing w:after="160" w:line="300" w:lineRule="auto"/>
        <w:jc w:val="both"/>
        <w:rPr>
          <w:sz w:val="24"/>
          <w:szCs w:val="24"/>
        </w:rPr>
      </w:pPr>
      <w:r w:rsidRPr="00AE6104">
        <w:rPr>
          <w:sz w:val="24"/>
          <w:szCs w:val="24"/>
        </w:rPr>
        <w:t xml:space="preserve">The strongest symbolic timing window is </w:t>
      </w:r>
      <w:r w:rsidRPr="00AE6104">
        <w:rPr>
          <w:b/>
          <w:bCs/>
          <w:sz w:val="24"/>
          <w:szCs w:val="24"/>
        </w:rPr>
        <w:t>late September through mid-November 2027.</w:t>
      </w:r>
    </w:p>
    <w:p w14:paraId="4F6D4CFF" w14:textId="77777777" w:rsidR="00A050EE" w:rsidRPr="00AE6104" w:rsidRDefault="00000000">
      <w:pPr>
        <w:spacing w:after="160" w:line="300" w:lineRule="auto"/>
        <w:jc w:val="both"/>
        <w:rPr>
          <w:sz w:val="24"/>
          <w:szCs w:val="24"/>
        </w:rPr>
      </w:pPr>
      <w:r w:rsidRPr="00AE6104">
        <w:rPr>
          <w:sz w:val="24"/>
          <w:szCs w:val="24"/>
        </w:rPr>
        <w:t>This is an even-odds timing call because annual national charts are better at describing the year's character than identifying an exact trading date. The window should be treated as a period of heightened risk, not as a guaranteed crash date.</w:t>
      </w:r>
    </w:p>
    <w:p w14:paraId="2F2F9FAA" w14:textId="77777777" w:rsidR="00A050EE" w:rsidRPr="00AE6104" w:rsidRDefault="00000000">
      <w:pPr>
        <w:spacing w:after="160" w:line="300" w:lineRule="auto"/>
        <w:jc w:val="both"/>
        <w:rPr>
          <w:sz w:val="24"/>
          <w:szCs w:val="24"/>
        </w:rPr>
      </w:pPr>
      <w:r w:rsidRPr="00AE6104">
        <w:rPr>
          <w:sz w:val="24"/>
          <w:szCs w:val="24"/>
        </w:rPr>
        <w:t>Potential triggers during that period include Treasury financing disappointment, an inflation or employment surprise, a Fed-government confrontation, AI earnings disappointment, energy escalation, political investigation, private-credit failure, or major regulatory action. Early to mid-November appears more favorable for a policy response, market reversal, or beginning of stabilization.</w:t>
      </w:r>
    </w:p>
    <w:p w14:paraId="510D0C1B" w14:textId="77777777" w:rsidR="00A050EE" w:rsidRPr="00AE6104" w:rsidRDefault="00000000">
      <w:pPr>
        <w:pStyle w:val="Heading2"/>
        <w:spacing w:before="360" w:after="140"/>
        <w:rPr>
          <w:sz w:val="28"/>
          <w:szCs w:val="28"/>
        </w:rPr>
      </w:pPr>
      <w:r w:rsidRPr="00AE6104">
        <w:rPr>
          <w:b/>
          <w:bCs/>
          <w:color w:val="1B2A4A"/>
          <w:sz w:val="28"/>
          <w:szCs w:val="28"/>
        </w:rPr>
        <w:t>7. A Broader AI Crash Versus Selective AI Repricing</w:t>
      </w:r>
    </w:p>
    <w:p w14:paraId="7C964F5B" w14:textId="77777777" w:rsidR="00A050EE" w:rsidRPr="00AE6104" w:rsidRDefault="00000000">
      <w:pPr>
        <w:spacing w:after="160" w:line="300" w:lineRule="auto"/>
        <w:jc w:val="both"/>
        <w:rPr>
          <w:sz w:val="24"/>
          <w:szCs w:val="24"/>
        </w:rPr>
      </w:pPr>
      <w:r w:rsidRPr="00AE6104">
        <w:rPr>
          <w:sz w:val="24"/>
          <w:szCs w:val="24"/>
        </w:rPr>
        <w:lastRenderedPageBreak/>
        <w:t>This is close to even odds because it depends on earnings and financing.</w:t>
      </w:r>
    </w:p>
    <w:p w14:paraId="2D6F5750" w14:textId="77777777" w:rsidR="00A050EE" w:rsidRPr="00AE6104" w:rsidRDefault="00000000">
      <w:pPr>
        <w:spacing w:before="240" w:after="100"/>
        <w:rPr>
          <w:sz w:val="24"/>
          <w:szCs w:val="24"/>
        </w:rPr>
      </w:pPr>
      <w:r w:rsidRPr="00AE6104">
        <w:rPr>
          <w:b/>
          <w:bCs/>
          <w:i/>
          <w:iCs/>
          <w:color w:val="8B6914"/>
          <w:sz w:val="24"/>
          <w:szCs w:val="24"/>
        </w:rPr>
        <w:t>Selective Repricing</w:t>
      </w:r>
    </w:p>
    <w:p w14:paraId="23755847" w14:textId="77777777" w:rsidR="00A050EE" w:rsidRPr="00AE6104" w:rsidRDefault="00000000">
      <w:pPr>
        <w:spacing w:after="160" w:line="300" w:lineRule="auto"/>
        <w:jc w:val="both"/>
        <w:rPr>
          <w:sz w:val="24"/>
          <w:szCs w:val="24"/>
        </w:rPr>
      </w:pPr>
      <w:r w:rsidRPr="00AE6104">
        <w:rPr>
          <w:sz w:val="24"/>
          <w:szCs w:val="24"/>
        </w:rPr>
        <w:t>The more constructive case is that profitable AI leaders retain demand while speculative applications fail. The Nasdaq corrects, but the industry continues expanding.</w:t>
      </w:r>
    </w:p>
    <w:p w14:paraId="67C868D1" w14:textId="77777777" w:rsidR="00A050EE" w:rsidRPr="00AE6104" w:rsidRDefault="00000000">
      <w:pPr>
        <w:spacing w:before="240" w:after="100"/>
        <w:rPr>
          <w:sz w:val="24"/>
          <w:szCs w:val="24"/>
        </w:rPr>
      </w:pPr>
      <w:r w:rsidRPr="00AE6104">
        <w:rPr>
          <w:b/>
          <w:bCs/>
          <w:i/>
          <w:iCs/>
          <w:color w:val="8B6914"/>
          <w:sz w:val="24"/>
          <w:szCs w:val="24"/>
        </w:rPr>
        <w:t>Broader AI Crash</w:t>
      </w:r>
    </w:p>
    <w:p w14:paraId="0E6A0FA4" w14:textId="77777777" w:rsidR="00A050EE" w:rsidRPr="00AE6104" w:rsidRDefault="00000000">
      <w:pPr>
        <w:spacing w:after="160" w:line="300" w:lineRule="auto"/>
        <w:jc w:val="both"/>
        <w:rPr>
          <w:sz w:val="24"/>
          <w:szCs w:val="24"/>
        </w:rPr>
      </w:pPr>
      <w:r w:rsidRPr="00AE6104">
        <w:rPr>
          <w:sz w:val="24"/>
          <w:szCs w:val="24"/>
        </w:rPr>
        <w:t>The more damaging case requires evidence that revenue cannot justify investment, data-center utilization disappoints, electricity and cooling costs destroy project economics, financing becomes unavailable, semiconductor orders are cancelled, and major enterprises reduce AI budgets simultaneously.</w:t>
      </w:r>
    </w:p>
    <w:p w14:paraId="15E6C7C5" w14:textId="77777777" w:rsidR="00A050EE" w:rsidRPr="00AE6104" w:rsidRDefault="00000000">
      <w:pPr>
        <w:spacing w:after="160" w:line="300" w:lineRule="auto"/>
        <w:jc w:val="both"/>
        <w:rPr>
          <w:sz w:val="24"/>
          <w:szCs w:val="24"/>
        </w:rPr>
      </w:pPr>
      <w:r w:rsidRPr="00AE6104">
        <w:rPr>
          <w:sz w:val="24"/>
          <w:szCs w:val="24"/>
        </w:rPr>
        <w:t>I favor the selective-repricing scenario, but a broader technology decline becomes possible if higher yields and earnings disappointment occur together.</w:t>
      </w:r>
    </w:p>
    <w:p w14:paraId="518A8517" w14:textId="77777777" w:rsidR="00A050EE" w:rsidRPr="00AE6104" w:rsidRDefault="00000000">
      <w:pPr>
        <w:pStyle w:val="Heading2"/>
        <w:spacing w:before="360" w:after="140"/>
        <w:rPr>
          <w:sz w:val="28"/>
          <w:szCs w:val="28"/>
        </w:rPr>
      </w:pPr>
      <w:r w:rsidRPr="00AE6104">
        <w:rPr>
          <w:b/>
          <w:bCs/>
          <w:color w:val="1B2A4A"/>
          <w:sz w:val="28"/>
          <w:szCs w:val="28"/>
        </w:rPr>
        <w:t>8. Regional Distribution of the Economic Effects</w:t>
      </w:r>
    </w:p>
    <w:p w14:paraId="4A20A9DB" w14:textId="77777777" w:rsidR="00A050EE" w:rsidRPr="00AE6104" w:rsidRDefault="00000000">
      <w:pPr>
        <w:spacing w:after="160" w:line="300" w:lineRule="auto"/>
        <w:jc w:val="both"/>
        <w:rPr>
          <w:sz w:val="24"/>
          <w:szCs w:val="24"/>
        </w:rPr>
      </w:pPr>
      <w:r w:rsidRPr="00AE6104">
        <w:rPr>
          <w:sz w:val="24"/>
          <w:szCs w:val="24"/>
        </w:rPr>
        <w:t>Exact geographic forecasting is uncertain, but the following financial exposures are defensible.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300"/>
        <w:gridCol w:w="2800"/>
        <w:gridCol w:w="2800"/>
      </w:tblGrid>
      <w:tr w:rsidR="00A050EE" w:rsidRPr="00AE6104" w14:paraId="467C5F7B" w14:textId="77777777">
        <w:tblPrEx>
          <w:tblCellMar>
            <w:top w:w="0" w:type="dxa"/>
            <w:bottom w:w="0" w:type="dxa"/>
          </w:tblCellMar>
        </w:tblPrEx>
        <w:trPr>
          <w:tblHeader/>
        </w:trPr>
        <w:tc>
          <w:tcPr>
            <w:tcW w:w="1500" w:type="dxa"/>
            <w:shd w:val="clear" w:color="auto" w:fill="1B2A4A"/>
            <w:tcMar>
              <w:top w:w="100" w:type="dxa"/>
              <w:left w:w="120" w:type="dxa"/>
              <w:bottom w:w="100" w:type="dxa"/>
              <w:right w:w="120" w:type="dxa"/>
            </w:tcMar>
            <w:vAlign w:val="center"/>
          </w:tcPr>
          <w:p w14:paraId="622122FA" w14:textId="77777777" w:rsidR="00A050EE" w:rsidRPr="00AE6104" w:rsidRDefault="00000000">
            <w:pPr>
              <w:rPr>
                <w:sz w:val="24"/>
                <w:szCs w:val="24"/>
              </w:rPr>
            </w:pPr>
            <w:r w:rsidRPr="00AE6104">
              <w:rPr>
                <w:b/>
                <w:bCs/>
                <w:color w:val="FFFFFF"/>
              </w:rPr>
              <w:t>Region</w:t>
            </w:r>
          </w:p>
        </w:tc>
        <w:tc>
          <w:tcPr>
            <w:tcW w:w="2300" w:type="dxa"/>
            <w:shd w:val="clear" w:color="auto" w:fill="1B2A4A"/>
            <w:tcMar>
              <w:top w:w="100" w:type="dxa"/>
              <w:left w:w="120" w:type="dxa"/>
              <w:bottom w:w="100" w:type="dxa"/>
              <w:right w:w="120" w:type="dxa"/>
            </w:tcMar>
            <w:vAlign w:val="center"/>
          </w:tcPr>
          <w:p w14:paraId="2C47CAA8" w14:textId="77777777" w:rsidR="00A050EE" w:rsidRPr="00AE6104" w:rsidRDefault="00000000">
            <w:pPr>
              <w:rPr>
                <w:sz w:val="24"/>
                <w:szCs w:val="24"/>
              </w:rPr>
            </w:pPr>
            <w:r w:rsidRPr="00AE6104">
              <w:rPr>
                <w:b/>
                <w:bCs/>
                <w:color w:val="FFFFFF"/>
              </w:rPr>
              <w:t>Principal Exposure</w:t>
            </w:r>
          </w:p>
        </w:tc>
        <w:tc>
          <w:tcPr>
            <w:tcW w:w="2800" w:type="dxa"/>
            <w:shd w:val="clear" w:color="auto" w:fill="1B2A4A"/>
            <w:tcMar>
              <w:top w:w="100" w:type="dxa"/>
              <w:left w:w="120" w:type="dxa"/>
              <w:bottom w:w="100" w:type="dxa"/>
              <w:right w:w="120" w:type="dxa"/>
            </w:tcMar>
            <w:vAlign w:val="center"/>
          </w:tcPr>
          <w:p w14:paraId="59364FD8" w14:textId="77777777" w:rsidR="00A050EE" w:rsidRPr="00AE6104" w:rsidRDefault="00000000">
            <w:pPr>
              <w:rPr>
                <w:sz w:val="24"/>
                <w:szCs w:val="24"/>
              </w:rPr>
            </w:pPr>
            <w:r w:rsidRPr="00AE6104">
              <w:rPr>
                <w:b/>
                <w:bCs/>
                <w:color w:val="FFFFFF"/>
              </w:rPr>
              <w:t>Likely Beneficiaries</w:t>
            </w:r>
          </w:p>
        </w:tc>
        <w:tc>
          <w:tcPr>
            <w:tcW w:w="2800" w:type="dxa"/>
            <w:shd w:val="clear" w:color="auto" w:fill="1B2A4A"/>
            <w:tcMar>
              <w:top w:w="100" w:type="dxa"/>
              <w:left w:w="120" w:type="dxa"/>
              <w:bottom w:w="100" w:type="dxa"/>
              <w:right w:w="120" w:type="dxa"/>
            </w:tcMar>
            <w:vAlign w:val="center"/>
          </w:tcPr>
          <w:p w14:paraId="13A1EFE2" w14:textId="77777777" w:rsidR="00A050EE" w:rsidRPr="00AE6104" w:rsidRDefault="00000000">
            <w:pPr>
              <w:rPr>
                <w:sz w:val="24"/>
                <w:szCs w:val="24"/>
              </w:rPr>
            </w:pPr>
            <w:r w:rsidRPr="00AE6104">
              <w:rPr>
                <w:b/>
                <w:bCs/>
                <w:color w:val="FFFFFF"/>
              </w:rPr>
              <w:t>Likely Disadvantages</w:t>
            </w:r>
          </w:p>
        </w:tc>
      </w:tr>
      <w:tr w:rsidR="00A050EE" w:rsidRPr="00AE6104" w14:paraId="2DCFFC62" w14:textId="77777777">
        <w:tblPrEx>
          <w:tblCellMar>
            <w:top w:w="0" w:type="dxa"/>
            <w:bottom w:w="0" w:type="dxa"/>
          </w:tblCellMar>
        </w:tblPrEx>
        <w:tc>
          <w:tcPr>
            <w:tcW w:w="1500" w:type="dxa"/>
            <w:tcMar>
              <w:top w:w="100" w:type="dxa"/>
              <w:left w:w="120" w:type="dxa"/>
              <w:bottom w:w="100" w:type="dxa"/>
              <w:right w:w="120" w:type="dxa"/>
            </w:tcMar>
            <w:vAlign w:val="center"/>
          </w:tcPr>
          <w:p w14:paraId="2C67DC3C" w14:textId="77777777" w:rsidR="00A050EE" w:rsidRPr="00AE6104" w:rsidRDefault="00000000">
            <w:pPr>
              <w:rPr>
                <w:sz w:val="24"/>
                <w:szCs w:val="24"/>
              </w:rPr>
            </w:pPr>
            <w:r w:rsidRPr="00AE6104">
              <w:t>West</w:t>
            </w:r>
          </w:p>
        </w:tc>
        <w:tc>
          <w:tcPr>
            <w:tcW w:w="2300" w:type="dxa"/>
            <w:tcMar>
              <w:top w:w="100" w:type="dxa"/>
              <w:left w:w="120" w:type="dxa"/>
              <w:bottom w:w="100" w:type="dxa"/>
              <w:right w:w="120" w:type="dxa"/>
            </w:tcMar>
            <w:vAlign w:val="center"/>
          </w:tcPr>
          <w:p w14:paraId="2778A884" w14:textId="77777777" w:rsidR="00A050EE" w:rsidRPr="00AE6104" w:rsidRDefault="00000000">
            <w:pPr>
              <w:rPr>
                <w:sz w:val="24"/>
                <w:szCs w:val="24"/>
              </w:rPr>
            </w:pPr>
            <w:r w:rsidRPr="00AE6104">
              <w:t>Technology, AI, venture capital, housing affordability</w:t>
            </w:r>
          </w:p>
        </w:tc>
        <w:tc>
          <w:tcPr>
            <w:tcW w:w="2800" w:type="dxa"/>
            <w:tcMar>
              <w:top w:w="100" w:type="dxa"/>
              <w:left w:w="120" w:type="dxa"/>
              <w:bottom w:w="100" w:type="dxa"/>
              <w:right w:w="120" w:type="dxa"/>
            </w:tcMar>
            <w:vAlign w:val="center"/>
          </w:tcPr>
          <w:p w14:paraId="5AE584B4" w14:textId="77777777" w:rsidR="00A050EE" w:rsidRPr="00AE6104" w:rsidRDefault="00000000">
            <w:pPr>
              <w:rPr>
                <w:sz w:val="24"/>
                <w:szCs w:val="24"/>
              </w:rPr>
            </w:pPr>
            <w:r w:rsidRPr="00AE6104">
              <w:t>Profitable platforms, chips, defense technology, grid development</w:t>
            </w:r>
          </w:p>
        </w:tc>
        <w:tc>
          <w:tcPr>
            <w:tcW w:w="2800" w:type="dxa"/>
            <w:tcMar>
              <w:top w:w="100" w:type="dxa"/>
              <w:left w:w="120" w:type="dxa"/>
              <w:bottom w:w="100" w:type="dxa"/>
              <w:right w:w="120" w:type="dxa"/>
            </w:tcMar>
            <w:vAlign w:val="center"/>
          </w:tcPr>
          <w:p w14:paraId="3220C26F" w14:textId="77777777" w:rsidR="00A050EE" w:rsidRPr="00AE6104" w:rsidRDefault="00000000">
            <w:pPr>
              <w:rPr>
                <w:sz w:val="24"/>
                <w:szCs w:val="24"/>
              </w:rPr>
            </w:pPr>
            <w:r w:rsidRPr="00AE6104">
              <w:t>Start-ups, office property, expensive housing markets, technology employment</w:t>
            </w:r>
          </w:p>
        </w:tc>
      </w:tr>
      <w:tr w:rsidR="00A050EE" w:rsidRPr="00AE6104" w14:paraId="735D631F" w14:textId="77777777">
        <w:tblPrEx>
          <w:tblCellMar>
            <w:top w:w="0" w:type="dxa"/>
            <w:bottom w:w="0" w:type="dxa"/>
          </w:tblCellMar>
        </w:tblPrEx>
        <w:tc>
          <w:tcPr>
            <w:tcW w:w="1500" w:type="dxa"/>
            <w:shd w:val="clear" w:color="auto" w:fill="F5F0E8"/>
            <w:tcMar>
              <w:top w:w="100" w:type="dxa"/>
              <w:left w:w="120" w:type="dxa"/>
              <w:bottom w:w="100" w:type="dxa"/>
              <w:right w:w="120" w:type="dxa"/>
            </w:tcMar>
            <w:vAlign w:val="center"/>
          </w:tcPr>
          <w:p w14:paraId="1F121033" w14:textId="77777777" w:rsidR="00A050EE" w:rsidRPr="00AE6104" w:rsidRDefault="00000000">
            <w:pPr>
              <w:rPr>
                <w:sz w:val="24"/>
                <w:szCs w:val="24"/>
              </w:rPr>
            </w:pPr>
            <w:r w:rsidRPr="00AE6104">
              <w:t>South</w:t>
            </w:r>
          </w:p>
        </w:tc>
        <w:tc>
          <w:tcPr>
            <w:tcW w:w="2300" w:type="dxa"/>
            <w:shd w:val="clear" w:color="auto" w:fill="F5F0E8"/>
            <w:tcMar>
              <w:top w:w="100" w:type="dxa"/>
              <w:left w:w="120" w:type="dxa"/>
              <w:bottom w:w="100" w:type="dxa"/>
              <w:right w:w="120" w:type="dxa"/>
            </w:tcMar>
            <w:vAlign w:val="center"/>
          </w:tcPr>
          <w:p w14:paraId="13042AC7" w14:textId="77777777" w:rsidR="00A050EE" w:rsidRPr="00AE6104" w:rsidRDefault="00000000">
            <w:pPr>
              <w:rPr>
                <w:sz w:val="24"/>
                <w:szCs w:val="24"/>
              </w:rPr>
            </w:pPr>
            <w:r w:rsidRPr="00AE6104">
              <w:t>Energy, manufacturing, logistics, population growth</w:t>
            </w:r>
          </w:p>
        </w:tc>
        <w:tc>
          <w:tcPr>
            <w:tcW w:w="2800" w:type="dxa"/>
            <w:shd w:val="clear" w:color="auto" w:fill="F5F0E8"/>
            <w:tcMar>
              <w:top w:w="100" w:type="dxa"/>
              <w:left w:w="120" w:type="dxa"/>
              <w:bottom w:w="100" w:type="dxa"/>
              <w:right w:w="120" w:type="dxa"/>
            </w:tcMar>
            <w:vAlign w:val="center"/>
          </w:tcPr>
          <w:p w14:paraId="21E9DB41" w14:textId="77777777" w:rsidR="00A050EE" w:rsidRPr="00AE6104" w:rsidRDefault="00000000">
            <w:pPr>
              <w:rPr>
                <w:sz w:val="24"/>
                <w:szCs w:val="24"/>
              </w:rPr>
            </w:pPr>
            <w:r w:rsidRPr="00AE6104">
              <w:t>Oil and gas, LNG, defense, factories, ports</w:t>
            </w:r>
          </w:p>
        </w:tc>
        <w:tc>
          <w:tcPr>
            <w:tcW w:w="2800" w:type="dxa"/>
            <w:shd w:val="clear" w:color="auto" w:fill="F5F0E8"/>
            <w:tcMar>
              <w:top w:w="100" w:type="dxa"/>
              <w:left w:w="120" w:type="dxa"/>
              <w:bottom w:w="100" w:type="dxa"/>
              <w:right w:w="120" w:type="dxa"/>
            </w:tcMar>
            <w:vAlign w:val="center"/>
          </w:tcPr>
          <w:p w14:paraId="238D009E" w14:textId="77777777" w:rsidR="00A050EE" w:rsidRPr="00AE6104" w:rsidRDefault="00000000">
            <w:pPr>
              <w:rPr>
                <w:sz w:val="24"/>
                <w:szCs w:val="24"/>
              </w:rPr>
            </w:pPr>
            <w:r w:rsidRPr="00AE6104">
              <w:t>Insurance costs, weather exposure, consumer credit, transportation costs</w:t>
            </w:r>
          </w:p>
        </w:tc>
      </w:tr>
      <w:tr w:rsidR="00A050EE" w:rsidRPr="00AE6104" w14:paraId="7234BB50" w14:textId="77777777">
        <w:tblPrEx>
          <w:tblCellMar>
            <w:top w:w="0" w:type="dxa"/>
            <w:bottom w:w="0" w:type="dxa"/>
          </w:tblCellMar>
        </w:tblPrEx>
        <w:tc>
          <w:tcPr>
            <w:tcW w:w="1500" w:type="dxa"/>
            <w:tcMar>
              <w:top w:w="100" w:type="dxa"/>
              <w:left w:w="120" w:type="dxa"/>
              <w:bottom w:w="100" w:type="dxa"/>
              <w:right w:w="120" w:type="dxa"/>
            </w:tcMar>
            <w:vAlign w:val="center"/>
          </w:tcPr>
          <w:p w14:paraId="60B07F2A" w14:textId="77777777" w:rsidR="00A050EE" w:rsidRPr="00AE6104" w:rsidRDefault="00000000">
            <w:pPr>
              <w:rPr>
                <w:sz w:val="24"/>
                <w:szCs w:val="24"/>
              </w:rPr>
            </w:pPr>
            <w:r w:rsidRPr="00AE6104">
              <w:t>East</w:t>
            </w:r>
          </w:p>
        </w:tc>
        <w:tc>
          <w:tcPr>
            <w:tcW w:w="2300" w:type="dxa"/>
            <w:tcMar>
              <w:top w:w="100" w:type="dxa"/>
              <w:left w:w="120" w:type="dxa"/>
              <w:bottom w:w="100" w:type="dxa"/>
              <w:right w:w="120" w:type="dxa"/>
            </w:tcMar>
            <w:vAlign w:val="center"/>
          </w:tcPr>
          <w:p w14:paraId="6E0B6577" w14:textId="77777777" w:rsidR="00A050EE" w:rsidRPr="00AE6104" w:rsidRDefault="00000000">
            <w:pPr>
              <w:rPr>
                <w:sz w:val="24"/>
                <w:szCs w:val="24"/>
              </w:rPr>
            </w:pPr>
            <w:r w:rsidRPr="00AE6104">
              <w:t>Finance, government, universities, health care</w:t>
            </w:r>
          </w:p>
        </w:tc>
        <w:tc>
          <w:tcPr>
            <w:tcW w:w="2800" w:type="dxa"/>
            <w:tcMar>
              <w:top w:w="100" w:type="dxa"/>
              <w:left w:w="120" w:type="dxa"/>
              <w:bottom w:w="100" w:type="dxa"/>
              <w:right w:w="120" w:type="dxa"/>
            </w:tcMar>
            <w:vAlign w:val="center"/>
          </w:tcPr>
          <w:p w14:paraId="4640860F" w14:textId="77777777" w:rsidR="00A050EE" w:rsidRPr="00AE6104" w:rsidRDefault="00000000">
            <w:pPr>
              <w:rPr>
                <w:sz w:val="24"/>
                <w:szCs w:val="24"/>
              </w:rPr>
            </w:pPr>
            <w:r w:rsidRPr="00AE6104">
              <w:t>Compliance, cybersecurity, defense, selective financial institutions</w:t>
            </w:r>
          </w:p>
        </w:tc>
        <w:tc>
          <w:tcPr>
            <w:tcW w:w="2800" w:type="dxa"/>
            <w:tcMar>
              <w:top w:w="100" w:type="dxa"/>
              <w:left w:w="120" w:type="dxa"/>
              <w:bottom w:w="100" w:type="dxa"/>
              <w:right w:w="120" w:type="dxa"/>
            </w:tcMar>
            <w:vAlign w:val="center"/>
          </w:tcPr>
          <w:p w14:paraId="3463C2CB" w14:textId="77777777" w:rsidR="00A050EE" w:rsidRPr="00AE6104" w:rsidRDefault="00000000">
            <w:pPr>
              <w:rPr>
                <w:sz w:val="24"/>
                <w:szCs w:val="24"/>
              </w:rPr>
            </w:pPr>
            <w:r w:rsidRPr="00AE6104">
              <w:t>Commercial property, government contractors exposed to cuts, highly leveraged finance</w:t>
            </w:r>
          </w:p>
        </w:tc>
      </w:tr>
      <w:tr w:rsidR="00A050EE" w:rsidRPr="00AE6104" w14:paraId="75A54F4C" w14:textId="77777777">
        <w:tblPrEx>
          <w:tblCellMar>
            <w:top w:w="0" w:type="dxa"/>
            <w:bottom w:w="0" w:type="dxa"/>
          </w:tblCellMar>
        </w:tblPrEx>
        <w:tc>
          <w:tcPr>
            <w:tcW w:w="1500" w:type="dxa"/>
            <w:shd w:val="clear" w:color="auto" w:fill="F5F0E8"/>
            <w:tcMar>
              <w:top w:w="100" w:type="dxa"/>
              <w:left w:w="120" w:type="dxa"/>
              <w:bottom w:w="100" w:type="dxa"/>
              <w:right w:w="120" w:type="dxa"/>
            </w:tcMar>
            <w:vAlign w:val="center"/>
          </w:tcPr>
          <w:p w14:paraId="6C02D689" w14:textId="77777777" w:rsidR="00A050EE" w:rsidRPr="00AE6104" w:rsidRDefault="00000000">
            <w:pPr>
              <w:rPr>
                <w:sz w:val="24"/>
                <w:szCs w:val="24"/>
              </w:rPr>
            </w:pPr>
            <w:r w:rsidRPr="00AE6104">
              <w:t>Midwest and North</w:t>
            </w:r>
          </w:p>
        </w:tc>
        <w:tc>
          <w:tcPr>
            <w:tcW w:w="2300" w:type="dxa"/>
            <w:shd w:val="clear" w:color="auto" w:fill="F5F0E8"/>
            <w:tcMar>
              <w:top w:w="100" w:type="dxa"/>
              <w:left w:w="120" w:type="dxa"/>
              <w:bottom w:w="100" w:type="dxa"/>
              <w:right w:w="120" w:type="dxa"/>
            </w:tcMar>
            <w:vAlign w:val="center"/>
          </w:tcPr>
          <w:p w14:paraId="43ED23F4" w14:textId="77777777" w:rsidR="00A050EE" w:rsidRPr="00AE6104" w:rsidRDefault="00000000">
            <w:pPr>
              <w:rPr>
                <w:sz w:val="24"/>
                <w:szCs w:val="24"/>
              </w:rPr>
            </w:pPr>
            <w:r w:rsidRPr="00AE6104">
              <w:t>Manufacturing, agriculture, transportation</w:t>
            </w:r>
          </w:p>
        </w:tc>
        <w:tc>
          <w:tcPr>
            <w:tcW w:w="2800" w:type="dxa"/>
            <w:shd w:val="clear" w:color="auto" w:fill="F5F0E8"/>
            <w:tcMar>
              <w:top w:w="100" w:type="dxa"/>
              <w:left w:w="120" w:type="dxa"/>
              <w:bottom w:w="100" w:type="dxa"/>
              <w:right w:w="120" w:type="dxa"/>
            </w:tcMar>
            <w:vAlign w:val="center"/>
          </w:tcPr>
          <w:p w14:paraId="7B892DEA" w14:textId="77777777" w:rsidR="00A050EE" w:rsidRPr="00AE6104" w:rsidRDefault="00000000">
            <w:pPr>
              <w:rPr>
                <w:sz w:val="24"/>
                <w:szCs w:val="24"/>
              </w:rPr>
            </w:pPr>
            <w:r w:rsidRPr="00AE6104">
              <w:t>Industrial reshoring, machinery, defense production, power infrastructure</w:t>
            </w:r>
          </w:p>
        </w:tc>
        <w:tc>
          <w:tcPr>
            <w:tcW w:w="2800" w:type="dxa"/>
            <w:shd w:val="clear" w:color="auto" w:fill="F5F0E8"/>
            <w:tcMar>
              <w:top w:w="100" w:type="dxa"/>
              <w:left w:w="120" w:type="dxa"/>
              <w:bottom w:w="100" w:type="dxa"/>
              <w:right w:w="120" w:type="dxa"/>
            </w:tcMar>
            <w:vAlign w:val="center"/>
          </w:tcPr>
          <w:p w14:paraId="58B367E3" w14:textId="77777777" w:rsidR="00A050EE" w:rsidRPr="00AE6104" w:rsidRDefault="00000000">
            <w:pPr>
              <w:rPr>
                <w:sz w:val="24"/>
                <w:szCs w:val="24"/>
              </w:rPr>
            </w:pPr>
            <w:r w:rsidRPr="00AE6104">
              <w:t>Diesel costs, farm margins, trade retaliation, weak export demand</w:t>
            </w:r>
          </w:p>
        </w:tc>
      </w:tr>
    </w:tbl>
    <w:p w14:paraId="61DFFCA9" w14:textId="77777777" w:rsidR="00A050EE" w:rsidRPr="00AE6104" w:rsidRDefault="00000000">
      <w:pPr>
        <w:spacing w:before="240" w:after="100"/>
        <w:rPr>
          <w:sz w:val="24"/>
          <w:szCs w:val="24"/>
        </w:rPr>
      </w:pPr>
      <w:r w:rsidRPr="00AE6104">
        <w:rPr>
          <w:b/>
          <w:bCs/>
          <w:i/>
          <w:iCs/>
          <w:color w:val="8B6914"/>
          <w:sz w:val="24"/>
          <w:szCs w:val="24"/>
        </w:rPr>
        <w:t>Most Affected Financially</w:t>
      </w:r>
    </w:p>
    <w:p w14:paraId="68ECC884" w14:textId="77777777" w:rsidR="00A050EE" w:rsidRPr="00AE6104" w:rsidRDefault="00000000">
      <w:pPr>
        <w:pStyle w:val="ListParagraph"/>
        <w:numPr>
          <w:ilvl w:val="0"/>
          <w:numId w:val="2"/>
        </w:numPr>
        <w:spacing w:after="100"/>
        <w:rPr>
          <w:sz w:val="24"/>
          <w:szCs w:val="24"/>
        </w:rPr>
      </w:pPr>
      <w:r w:rsidRPr="00AE6104">
        <w:rPr>
          <w:sz w:val="24"/>
          <w:szCs w:val="24"/>
        </w:rPr>
        <w:t>The West is most exposed to an AI and technology valuation correction.</w:t>
      </w:r>
    </w:p>
    <w:p w14:paraId="5ED56A16" w14:textId="77777777" w:rsidR="00A050EE" w:rsidRPr="00AE6104" w:rsidRDefault="00000000">
      <w:pPr>
        <w:pStyle w:val="ListParagraph"/>
        <w:numPr>
          <w:ilvl w:val="0"/>
          <w:numId w:val="2"/>
        </w:numPr>
        <w:spacing w:after="100"/>
        <w:rPr>
          <w:sz w:val="24"/>
          <w:szCs w:val="24"/>
        </w:rPr>
      </w:pPr>
      <w:r w:rsidRPr="00AE6104">
        <w:rPr>
          <w:sz w:val="24"/>
          <w:szCs w:val="24"/>
        </w:rPr>
        <w:t>The East is most exposed to Treasury, financial-market, federal-government, and commercial-property stress.</w:t>
      </w:r>
    </w:p>
    <w:p w14:paraId="3C53AAAE" w14:textId="77777777" w:rsidR="00A050EE" w:rsidRPr="00AE6104" w:rsidRDefault="00000000">
      <w:pPr>
        <w:pStyle w:val="ListParagraph"/>
        <w:numPr>
          <w:ilvl w:val="0"/>
          <w:numId w:val="2"/>
        </w:numPr>
        <w:spacing w:after="100"/>
        <w:rPr>
          <w:sz w:val="24"/>
          <w:szCs w:val="24"/>
        </w:rPr>
      </w:pPr>
      <w:r w:rsidRPr="00AE6104">
        <w:rPr>
          <w:sz w:val="24"/>
          <w:szCs w:val="24"/>
        </w:rPr>
        <w:t>The South and Midwest are most exposed to energy, transportation, insurance, and trade costs, although they also possess important industrial and energy advantages.</w:t>
      </w:r>
    </w:p>
    <w:p w14:paraId="70C7A322" w14:textId="77777777" w:rsidR="00A050EE" w:rsidRPr="00AE6104" w:rsidRDefault="00000000">
      <w:pPr>
        <w:rPr>
          <w:sz w:val="24"/>
          <w:szCs w:val="24"/>
        </w:rPr>
      </w:pPr>
      <w:r w:rsidRPr="00AE6104">
        <w:rPr>
          <w:sz w:val="24"/>
          <w:szCs w:val="24"/>
        </w:rPr>
        <w:br w:type="page"/>
      </w:r>
    </w:p>
    <w:p w14:paraId="35CA4BF5" w14:textId="77777777" w:rsidR="00A050EE" w:rsidRPr="00AE6104" w:rsidRDefault="00000000">
      <w:pPr>
        <w:pStyle w:val="Heading1"/>
        <w:pBdr>
          <w:bottom w:val="single" w:sz="8" w:space="4" w:color="B8860B"/>
        </w:pBdr>
        <w:spacing w:before="480" w:after="200"/>
        <w:rPr>
          <w:sz w:val="36"/>
          <w:szCs w:val="36"/>
        </w:rPr>
      </w:pPr>
      <w:r w:rsidRPr="00AE6104">
        <w:rPr>
          <w:b/>
          <w:bCs/>
          <w:color w:val="1B2A4A"/>
        </w:rPr>
        <w:lastRenderedPageBreak/>
        <w:t>WHO BENEFITS AND WHO DOES NOT</w:t>
      </w:r>
    </w:p>
    <w:p w14:paraId="2CD0D28B" w14:textId="77777777" w:rsidR="00A050EE" w:rsidRPr="00AE6104" w:rsidRDefault="00000000">
      <w:pPr>
        <w:pStyle w:val="Heading2"/>
        <w:spacing w:before="360" w:after="140"/>
        <w:rPr>
          <w:sz w:val="28"/>
          <w:szCs w:val="28"/>
        </w:rPr>
      </w:pPr>
      <w:r w:rsidRPr="00AE6104">
        <w:rPr>
          <w:b/>
          <w:bCs/>
          <w:color w:val="1B2A4A"/>
          <w:sz w:val="28"/>
          <w:szCs w:val="28"/>
        </w:rPr>
        <w:t>Probable Beneficiaries</w:t>
      </w:r>
    </w:p>
    <w:p w14:paraId="6229DE7C" w14:textId="77777777" w:rsidR="00A050EE" w:rsidRPr="00AE6104" w:rsidRDefault="00000000">
      <w:pPr>
        <w:pStyle w:val="ListParagraph"/>
        <w:numPr>
          <w:ilvl w:val="0"/>
          <w:numId w:val="2"/>
        </w:numPr>
        <w:spacing w:after="100"/>
        <w:rPr>
          <w:sz w:val="24"/>
          <w:szCs w:val="24"/>
        </w:rPr>
      </w:pPr>
      <w:r w:rsidRPr="00AE6104">
        <w:rPr>
          <w:sz w:val="24"/>
          <w:szCs w:val="24"/>
        </w:rPr>
        <w:t>Cash-rich companies with low refinancing requirements</w:t>
      </w:r>
    </w:p>
    <w:p w14:paraId="7B491987" w14:textId="77777777" w:rsidR="00A050EE" w:rsidRPr="00AE6104" w:rsidRDefault="00000000">
      <w:pPr>
        <w:pStyle w:val="ListParagraph"/>
        <w:numPr>
          <w:ilvl w:val="0"/>
          <w:numId w:val="2"/>
        </w:numPr>
        <w:spacing w:after="100"/>
        <w:rPr>
          <w:sz w:val="24"/>
          <w:szCs w:val="24"/>
        </w:rPr>
      </w:pPr>
      <w:r w:rsidRPr="00AE6104">
        <w:rPr>
          <w:sz w:val="24"/>
          <w:szCs w:val="24"/>
        </w:rPr>
        <w:t>Profitable AI infrastructure providers</w:t>
      </w:r>
    </w:p>
    <w:p w14:paraId="3E65521E" w14:textId="77777777" w:rsidR="00A050EE" w:rsidRPr="00AE6104" w:rsidRDefault="00000000">
      <w:pPr>
        <w:pStyle w:val="ListParagraph"/>
        <w:numPr>
          <w:ilvl w:val="0"/>
          <w:numId w:val="2"/>
        </w:numPr>
        <w:spacing w:after="100"/>
        <w:rPr>
          <w:sz w:val="24"/>
          <w:szCs w:val="24"/>
        </w:rPr>
      </w:pPr>
      <w:r w:rsidRPr="00AE6104">
        <w:rPr>
          <w:sz w:val="24"/>
          <w:szCs w:val="24"/>
        </w:rPr>
        <w:t>Electrical equipment and grid-modernization companies</w:t>
      </w:r>
    </w:p>
    <w:p w14:paraId="500C2F53" w14:textId="77777777" w:rsidR="00A050EE" w:rsidRPr="00AE6104" w:rsidRDefault="00000000">
      <w:pPr>
        <w:pStyle w:val="ListParagraph"/>
        <w:numPr>
          <w:ilvl w:val="0"/>
          <w:numId w:val="2"/>
        </w:numPr>
        <w:spacing w:after="100"/>
        <w:rPr>
          <w:sz w:val="24"/>
          <w:szCs w:val="24"/>
        </w:rPr>
      </w:pPr>
      <w:r w:rsidRPr="00AE6104">
        <w:rPr>
          <w:sz w:val="24"/>
          <w:szCs w:val="24"/>
        </w:rPr>
        <w:t>Domestic energy production and pipelines</w:t>
      </w:r>
    </w:p>
    <w:p w14:paraId="7E80689A" w14:textId="77777777" w:rsidR="00A050EE" w:rsidRPr="00AE6104" w:rsidRDefault="00000000">
      <w:pPr>
        <w:pStyle w:val="ListParagraph"/>
        <w:numPr>
          <w:ilvl w:val="0"/>
          <w:numId w:val="2"/>
        </w:numPr>
        <w:spacing w:after="100"/>
        <w:rPr>
          <w:sz w:val="24"/>
          <w:szCs w:val="24"/>
        </w:rPr>
      </w:pPr>
      <w:r w:rsidRPr="00AE6104">
        <w:rPr>
          <w:sz w:val="24"/>
          <w:szCs w:val="24"/>
        </w:rPr>
        <w:t>Defense, aerospace, cybersecurity, and intelligence contractors</w:t>
      </w:r>
    </w:p>
    <w:p w14:paraId="1F39D9E7" w14:textId="77777777" w:rsidR="00A050EE" w:rsidRPr="00AE6104" w:rsidRDefault="00000000">
      <w:pPr>
        <w:pStyle w:val="ListParagraph"/>
        <w:numPr>
          <w:ilvl w:val="0"/>
          <w:numId w:val="2"/>
        </w:numPr>
        <w:spacing w:after="100"/>
        <w:rPr>
          <w:sz w:val="24"/>
          <w:szCs w:val="24"/>
        </w:rPr>
      </w:pPr>
      <w:r w:rsidRPr="00AE6104">
        <w:rPr>
          <w:sz w:val="24"/>
          <w:szCs w:val="24"/>
        </w:rPr>
        <w:t>Companies benefiting from industrial reshoring</w:t>
      </w:r>
    </w:p>
    <w:p w14:paraId="0969336F" w14:textId="77777777" w:rsidR="00A050EE" w:rsidRPr="00AE6104" w:rsidRDefault="00000000">
      <w:pPr>
        <w:pStyle w:val="ListParagraph"/>
        <w:numPr>
          <w:ilvl w:val="0"/>
          <w:numId w:val="2"/>
        </w:numPr>
        <w:spacing w:after="100"/>
        <w:rPr>
          <w:sz w:val="24"/>
          <w:szCs w:val="24"/>
        </w:rPr>
      </w:pPr>
      <w:r w:rsidRPr="00AE6104">
        <w:rPr>
          <w:sz w:val="24"/>
          <w:szCs w:val="24"/>
        </w:rPr>
        <w:t>Short-duration lenders</w:t>
      </w:r>
    </w:p>
    <w:p w14:paraId="23E6EBDD" w14:textId="77777777" w:rsidR="00A050EE" w:rsidRPr="00AE6104" w:rsidRDefault="00000000">
      <w:pPr>
        <w:pStyle w:val="ListParagraph"/>
        <w:numPr>
          <w:ilvl w:val="0"/>
          <w:numId w:val="2"/>
        </w:numPr>
        <w:spacing w:after="100"/>
        <w:rPr>
          <w:sz w:val="24"/>
          <w:szCs w:val="24"/>
        </w:rPr>
      </w:pPr>
      <w:r w:rsidRPr="00AE6104">
        <w:rPr>
          <w:sz w:val="24"/>
          <w:szCs w:val="24"/>
        </w:rPr>
        <w:t>Skilled workers in power, construction, advanced manufacturing, defense, and health services</w:t>
      </w:r>
    </w:p>
    <w:p w14:paraId="6CF33C26" w14:textId="77777777" w:rsidR="00A050EE" w:rsidRPr="00AE6104" w:rsidRDefault="00000000">
      <w:pPr>
        <w:pStyle w:val="ListParagraph"/>
        <w:numPr>
          <w:ilvl w:val="0"/>
          <w:numId w:val="2"/>
        </w:numPr>
        <w:spacing w:after="100"/>
        <w:rPr>
          <w:sz w:val="24"/>
          <w:szCs w:val="24"/>
        </w:rPr>
      </w:pPr>
      <w:r w:rsidRPr="00AE6104">
        <w:rPr>
          <w:sz w:val="24"/>
          <w:szCs w:val="24"/>
        </w:rPr>
        <w:t>Households with manageable debt and sufficient liquidity to avoid forced selling</w:t>
      </w:r>
    </w:p>
    <w:p w14:paraId="4A5766DB" w14:textId="77777777" w:rsidR="00A050EE" w:rsidRPr="00AE6104" w:rsidRDefault="00000000">
      <w:pPr>
        <w:pStyle w:val="Heading2"/>
        <w:spacing w:before="360" w:after="140"/>
        <w:rPr>
          <w:sz w:val="28"/>
          <w:szCs w:val="28"/>
        </w:rPr>
      </w:pPr>
      <w:r w:rsidRPr="00AE6104">
        <w:rPr>
          <w:b/>
          <w:bCs/>
          <w:color w:val="1B2A4A"/>
          <w:sz w:val="28"/>
          <w:szCs w:val="28"/>
        </w:rPr>
        <w:t>Probable Losers</w:t>
      </w:r>
    </w:p>
    <w:p w14:paraId="1611AC83" w14:textId="77777777" w:rsidR="00A050EE" w:rsidRPr="00AE6104" w:rsidRDefault="00000000">
      <w:pPr>
        <w:pStyle w:val="ListParagraph"/>
        <w:numPr>
          <w:ilvl w:val="0"/>
          <w:numId w:val="2"/>
        </w:numPr>
        <w:spacing w:after="100"/>
        <w:rPr>
          <w:sz w:val="24"/>
          <w:szCs w:val="24"/>
        </w:rPr>
      </w:pPr>
      <w:r w:rsidRPr="00AE6104">
        <w:rPr>
          <w:sz w:val="24"/>
          <w:szCs w:val="24"/>
        </w:rPr>
        <w:t>Unprofitable technology and AI companies</w:t>
      </w:r>
    </w:p>
    <w:p w14:paraId="3F13E5F9" w14:textId="77777777" w:rsidR="00A050EE" w:rsidRPr="00AE6104" w:rsidRDefault="00000000">
      <w:pPr>
        <w:pStyle w:val="ListParagraph"/>
        <w:numPr>
          <w:ilvl w:val="0"/>
          <w:numId w:val="2"/>
        </w:numPr>
        <w:spacing w:after="100"/>
        <w:rPr>
          <w:sz w:val="24"/>
          <w:szCs w:val="24"/>
        </w:rPr>
      </w:pPr>
      <w:r w:rsidRPr="00AE6104">
        <w:rPr>
          <w:sz w:val="24"/>
          <w:szCs w:val="24"/>
        </w:rPr>
        <w:t>Highly leveraged private-equity portfolio companies</w:t>
      </w:r>
    </w:p>
    <w:p w14:paraId="796A46C3" w14:textId="77777777" w:rsidR="00A050EE" w:rsidRPr="00AE6104" w:rsidRDefault="00000000">
      <w:pPr>
        <w:pStyle w:val="ListParagraph"/>
        <w:numPr>
          <w:ilvl w:val="0"/>
          <w:numId w:val="2"/>
        </w:numPr>
        <w:spacing w:after="100"/>
        <w:rPr>
          <w:sz w:val="24"/>
          <w:szCs w:val="24"/>
        </w:rPr>
      </w:pPr>
      <w:r w:rsidRPr="00AE6104">
        <w:rPr>
          <w:sz w:val="24"/>
          <w:szCs w:val="24"/>
        </w:rPr>
        <w:t>Commercial real estate dependent on refinancing</w:t>
      </w:r>
    </w:p>
    <w:p w14:paraId="7D29A7B7" w14:textId="77777777" w:rsidR="00A050EE" w:rsidRPr="00AE6104" w:rsidRDefault="00000000">
      <w:pPr>
        <w:pStyle w:val="ListParagraph"/>
        <w:numPr>
          <w:ilvl w:val="0"/>
          <w:numId w:val="2"/>
        </w:numPr>
        <w:spacing w:after="100"/>
        <w:rPr>
          <w:sz w:val="24"/>
          <w:szCs w:val="24"/>
        </w:rPr>
      </w:pPr>
      <w:r w:rsidRPr="00AE6104">
        <w:rPr>
          <w:sz w:val="24"/>
          <w:szCs w:val="24"/>
        </w:rPr>
        <w:t>Lower-income consumers</w:t>
      </w:r>
    </w:p>
    <w:p w14:paraId="42140181" w14:textId="77777777" w:rsidR="00A050EE" w:rsidRPr="00AE6104" w:rsidRDefault="00000000">
      <w:pPr>
        <w:pStyle w:val="ListParagraph"/>
        <w:numPr>
          <w:ilvl w:val="0"/>
          <w:numId w:val="2"/>
        </w:numPr>
        <w:spacing w:after="100"/>
        <w:rPr>
          <w:sz w:val="24"/>
          <w:szCs w:val="24"/>
        </w:rPr>
      </w:pPr>
      <w:r w:rsidRPr="00AE6104">
        <w:rPr>
          <w:sz w:val="24"/>
          <w:szCs w:val="24"/>
        </w:rPr>
        <w:t>First-time homebuyers</w:t>
      </w:r>
    </w:p>
    <w:p w14:paraId="148A8C9B" w14:textId="77777777" w:rsidR="00A050EE" w:rsidRPr="00AE6104" w:rsidRDefault="00000000">
      <w:pPr>
        <w:pStyle w:val="ListParagraph"/>
        <w:numPr>
          <w:ilvl w:val="0"/>
          <w:numId w:val="2"/>
        </w:numPr>
        <w:spacing w:after="100"/>
        <w:rPr>
          <w:sz w:val="24"/>
          <w:szCs w:val="24"/>
        </w:rPr>
      </w:pPr>
      <w:r w:rsidRPr="00AE6104">
        <w:rPr>
          <w:sz w:val="24"/>
          <w:szCs w:val="24"/>
        </w:rPr>
        <w:t>Households carrying variable-rate consumer debt</w:t>
      </w:r>
    </w:p>
    <w:p w14:paraId="2240C883" w14:textId="77777777" w:rsidR="00A050EE" w:rsidRPr="00AE6104" w:rsidRDefault="00000000">
      <w:pPr>
        <w:pStyle w:val="ListParagraph"/>
        <w:numPr>
          <w:ilvl w:val="0"/>
          <w:numId w:val="2"/>
        </w:numPr>
        <w:spacing w:after="100"/>
        <w:rPr>
          <w:sz w:val="24"/>
          <w:szCs w:val="24"/>
        </w:rPr>
      </w:pPr>
      <w:r w:rsidRPr="00AE6104">
        <w:rPr>
          <w:sz w:val="24"/>
          <w:szCs w:val="24"/>
        </w:rPr>
        <w:t>Long-duration bondholders if inflation remains elevated</w:t>
      </w:r>
    </w:p>
    <w:p w14:paraId="2A5917E4" w14:textId="77777777" w:rsidR="00A050EE" w:rsidRPr="00AE6104" w:rsidRDefault="00000000">
      <w:pPr>
        <w:pStyle w:val="ListParagraph"/>
        <w:numPr>
          <w:ilvl w:val="0"/>
          <w:numId w:val="2"/>
        </w:numPr>
        <w:spacing w:after="100"/>
        <w:rPr>
          <w:sz w:val="24"/>
          <w:szCs w:val="24"/>
        </w:rPr>
      </w:pPr>
      <w:r w:rsidRPr="00AE6104">
        <w:rPr>
          <w:sz w:val="24"/>
          <w:szCs w:val="24"/>
        </w:rPr>
        <w:t>Workers in routine entry-level knowledge occupations</w:t>
      </w:r>
    </w:p>
    <w:p w14:paraId="36F6588D" w14:textId="77777777" w:rsidR="00A050EE" w:rsidRPr="00AE6104" w:rsidRDefault="00000000">
      <w:pPr>
        <w:pStyle w:val="ListParagraph"/>
        <w:numPr>
          <w:ilvl w:val="0"/>
          <w:numId w:val="2"/>
        </w:numPr>
        <w:spacing w:after="100"/>
        <w:rPr>
          <w:sz w:val="24"/>
          <w:szCs w:val="24"/>
        </w:rPr>
      </w:pPr>
      <w:r w:rsidRPr="00AE6104">
        <w:rPr>
          <w:sz w:val="24"/>
          <w:szCs w:val="24"/>
        </w:rPr>
        <w:t>Retirees forced to withdraw from falling portfolios</w:t>
      </w:r>
    </w:p>
    <w:p w14:paraId="23AFE115" w14:textId="77777777" w:rsidR="00A050EE" w:rsidRPr="00AE6104" w:rsidRDefault="00000000">
      <w:pPr>
        <w:pStyle w:val="ListParagraph"/>
        <w:numPr>
          <w:ilvl w:val="0"/>
          <w:numId w:val="2"/>
        </w:numPr>
        <w:spacing w:after="100"/>
        <w:rPr>
          <w:sz w:val="24"/>
          <w:szCs w:val="24"/>
        </w:rPr>
      </w:pPr>
      <w:r w:rsidRPr="00AE6104">
        <w:rPr>
          <w:sz w:val="24"/>
          <w:szCs w:val="24"/>
        </w:rPr>
        <w:t>Small businesses unable to absorb insurance, wage, energy, and borrowing costs</w:t>
      </w:r>
    </w:p>
    <w:p w14:paraId="2D5A9D86" w14:textId="77777777" w:rsidR="00A050EE" w:rsidRPr="00AE6104" w:rsidRDefault="00000000">
      <w:pPr>
        <w:pStyle w:val="ListParagraph"/>
        <w:numPr>
          <w:ilvl w:val="0"/>
          <w:numId w:val="2"/>
        </w:numPr>
        <w:spacing w:after="100"/>
        <w:rPr>
          <w:sz w:val="24"/>
          <w:szCs w:val="24"/>
        </w:rPr>
      </w:pPr>
      <w:r w:rsidRPr="00AE6104">
        <w:rPr>
          <w:sz w:val="24"/>
          <w:szCs w:val="24"/>
        </w:rPr>
        <w:t>Import-dependent companies exposed to tariffs and supply disruptions</w:t>
      </w:r>
    </w:p>
    <w:p w14:paraId="0859EEAE" w14:textId="77777777" w:rsidR="00A050EE" w:rsidRPr="00AE6104" w:rsidRDefault="00000000">
      <w:pPr>
        <w:rPr>
          <w:sz w:val="24"/>
          <w:szCs w:val="24"/>
        </w:rPr>
      </w:pPr>
      <w:r w:rsidRPr="00AE6104">
        <w:rPr>
          <w:sz w:val="24"/>
          <w:szCs w:val="24"/>
        </w:rPr>
        <w:br w:type="page"/>
      </w:r>
    </w:p>
    <w:p w14:paraId="7D264A3F" w14:textId="77777777" w:rsidR="00A050EE" w:rsidRPr="00AE6104" w:rsidRDefault="00000000">
      <w:pPr>
        <w:pStyle w:val="Heading1"/>
        <w:pBdr>
          <w:bottom w:val="single" w:sz="8" w:space="4" w:color="B8860B"/>
        </w:pBdr>
        <w:spacing w:before="480" w:after="200"/>
        <w:rPr>
          <w:sz w:val="36"/>
          <w:szCs w:val="36"/>
        </w:rPr>
      </w:pPr>
      <w:r w:rsidRPr="00AE6104">
        <w:rPr>
          <w:b/>
          <w:bCs/>
          <w:color w:val="1B2A4A"/>
        </w:rPr>
        <w:lastRenderedPageBreak/>
        <w:t>FINAL INVESTMENT JUDGMENT</w:t>
      </w:r>
    </w:p>
    <w:p w14:paraId="40FB4634" w14:textId="77777777" w:rsidR="00A050EE" w:rsidRPr="00AE6104" w:rsidRDefault="00000000">
      <w:pPr>
        <w:spacing w:after="160" w:line="300" w:lineRule="auto"/>
        <w:jc w:val="both"/>
        <w:rPr>
          <w:sz w:val="24"/>
          <w:szCs w:val="24"/>
        </w:rPr>
      </w:pPr>
      <w:r w:rsidRPr="00AE6104">
        <w:rPr>
          <w:sz w:val="24"/>
          <w:szCs w:val="24"/>
        </w:rPr>
        <w:t>The daring but defensible conclusion is that 2027 will expose the difference between economic activity and financial profitability.</w:t>
      </w:r>
    </w:p>
    <w:p w14:paraId="02C1015A" w14:textId="77777777" w:rsidR="00A050EE" w:rsidRPr="00AE6104" w:rsidRDefault="00000000">
      <w:pPr>
        <w:spacing w:after="160" w:line="300" w:lineRule="auto"/>
        <w:jc w:val="both"/>
        <w:rPr>
          <w:sz w:val="24"/>
          <w:szCs w:val="24"/>
        </w:rPr>
      </w:pPr>
      <w:r w:rsidRPr="00AE6104">
        <w:rPr>
          <w:sz w:val="24"/>
          <w:szCs w:val="24"/>
        </w:rPr>
        <w:t>AI investment, defense spending, domestic energy, and infrastructure can keep the economy moving. That does not guarantee that today's asset prices are sustainable. The economy can continue growing while expensive stocks fall, long-term bonds struggle, household purchasing power weakens, government borrowing expands, layoffs rise in selected sectors, and wealth becomes more concentrated.</w:t>
      </w:r>
    </w:p>
    <w:p w14:paraId="415D7F9C" w14:textId="77777777" w:rsidR="00A050EE" w:rsidRPr="00AE6104" w:rsidRDefault="00000000">
      <w:pPr>
        <w:spacing w:after="160" w:line="300" w:lineRule="auto"/>
        <w:jc w:val="both"/>
        <w:rPr>
          <w:sz w:val="24"/>
          <w:szCs w:val="24"/>
        </w:rPr>
      </w:pPr>
      <w:r w:rsidRPr="00AE6104">
        <w:rPr>
          <w:sz w:val="24"/>
          <w:szCs w:val="24"/>
        </w:rPr>
        <w:t>The central danger is not the disappearance of capital. It is the increasing concentration of capital in government obligations, strategically protected industries, and a small group of profitable corporations.</w:t>
      </w:r>
    </w:p>
    <w:p w14:paraId="3AF55A11" w14:textId="77777777" w:rsidR="00A050EE" w:rsidRPr="00AE6104" w:rsidRDefault="00000000">
      <w:pPr>
        <w:spacing w:after="160" w:line="300" w:lineRule="auto"/>
        <w:jc w:val="both"/>
        <w:rPr>
          <w:sz w:val="24"/>
          <w:szCs w:val="24"/>
        </w:rPr>
      </w:pPr>
      <w:r w:rsidRPr="00AE6104">
        <w:rPr>
          <w:sz w:val="24"/>
          <w:szCs w:val="24"/>
        </w:rPr>
        <w:t>The central opportunity is not broad speculation. It is ownership of durable cash flow, essential infrastructure, energy capacity, strategic technology, and businesses able to operate without repeated refinancing.</w:t>
      </w:r>
    </w:p>
    <w:p w14:paraId="718D1936" w14:textId="77777777" w:rsidR="00A050EE" w:rsidRPr="00AE6104" w:rsidRDefault="00000000">
      <w:pPr>
        <w:pStyle w:val="Heading2"/>
        <w:spacing w:before="360" w:after="140"/>
        <w:rPr>
          <w:sz w:val="28"/>
          <w:szCs w:val="28"/>
        </w:rPr>
      </w:pPr>
      <w:r w:rsidRPr="00AE6104">
        <w:rPr>
          <w:b/>
          <w:bCs/>
          <w:color w:val="1B2A4A"/>
          <w:sz w:val="28"/>
          <w:szCs w:val="28"/>
        </w:rPr>
        <w:t>The Forecast in One Paragraph</w:t>
      </w:r>
    </w:p>
    <w:p w14:paraId="4D0D210E" w14:textId="77777777" w:rsidR="00A050EE" w:rsidRPr="00AE6104" w:rsidRDefault="00000000">
      <w:pPr>
        <w:pBdr>
          <w:left w:val="single" w:sz="18" w:space="10" w:color="B8860B"/>
        </w:pBdr>
        <w:shd w:val="clear" w:color="auto" w:fill="F5F0E8"/>
        <w:spacing w:before="200" w:after="240" w:line="300" w:lineRule="auto"/>
        <w:ind w:left="500" w:right="500"/>
        <w:rPr>
          <w:sz w:val="24"/>
          <w:szCs w:val="24"/>
        </w:rPr>
      </w:pPr>
      <w:r w:rsidRPr="00AE6104">
        <w:rPr>
          <w:b/>
          <w:bCs/>
          <w:i/>
          <w:iCs/>
          <w:color w:val="1B2A4A"/>
          <w:sz w:val="24"/>
          <w:szCs w:val="24"/>
        </w:rPr>
        <w:t>The United States enters 2027 with capital still flowing but increasingly constrained by inflation, energy insecurity, federal borrowing, and expensive credit. Economic activity continues, although growth becomes uneven and household conditions weaken beneath the national statistics. AI adoption expands, but its investment bubble undergoes a selective deflation that punishes speculative and heavily financed companies. A stock-market correction of approximately ten to twenty percent is more likely than a systemic crash, with the strongest risk concentrated in the second half and particularly in autumn. The president probably remains in office but faces stronger institutional opposition. A divided Congress is likely, Iran remains unresolved, and competition with China and Russia continues primarily through trade, technology, energy, cyber activity, and proxy conflict. Government intervention limits the probability of collapse, but it transfers part of the adjustment to taxpayers, consumers, savers, and retirees through inflation, taxation, weaker real returns, and prolonged financial repression.</w:t>
      </w:r>
    </w:p>
    <w:p w14:paraId="0BB9FA6B" w14:textId="77777777" w:rsidR="00A050EE" w:rsidRPr="00AE6104" w:rsidRDefault="00000000">
      <w:pPr>
        <w:spacing w:after="160" w:line="300" w:lineRule="auto"/>
        <w:jc w:val="both"/>
        <w:rPr>
          <w:sz w:val="24"/>
          <w:szCs w:val="24"/>
        </w:rPr>
      </w:pPr>
      <w:r w:rsidRPr="00AE6104">
        <w:rPr>
          <w:sz w:val="24"/>
          <w:szCs w:val="24"/>
        </w:rPr>
        <w:t>The forecast should be reconsidered if inflation returns sustainably to 2%, long-term yields fall without recession, AI earnings broadly validate current spending, Treasury auctions remain consistently strong, and market leadership expands beyond a small number of companies. Those developments would invalidate much of the bearish case.</w:t>
      </w:r>
    </w:p>
    <w:p w14:paraId="78C896A9" w14:textId="77777777" w:rsidR="00A050EE" w:rsidRPr="00AE6104" w:rsidRDefault="00000000">
      <w:pPr>
        <w:rPr>
          <w:sz w:val="24"/>
          <w:szCs w:val="24"/>
        </w:rPr>
      </w:pPr>
      <w:r w:rsidRPr="00AE6104">
        <w:rPr>
          <w:sz w:val="24"/>
          <w:szCs w:val="24"/>
        </w:rPr>
        <w:br w:type="page"/>
      </w:r>
    </w:p>
    <w:p w14:paraId="4248CFA6" w14:textId="77777777" w:rsidR="00A050EE" w:rsidRPr="00AE6104" w:rsidRDefault="00000000">
      <w:pPr>
        <w:pStyle w:val="Heading1"/>
        <w:pBdr>
          <w:bottom w:val="single" w:sz="8" w:space="4" w:color="B8860B"/>
        </w:pBdr>
        <w:spacing w:before="480" w:after="200"/>
        <w:rPr>
          <w:sz w:val="36"/>
          <w:szCs w:val="36"/>
        </w:rPr>
      </w:pPr>
      <w:r w:rsidRPr="00AE6104">
        <w:rPr>
          <w:b/>
          <w:bCs/>
          <w:color w:val="1B2A4A"/>
        </w:rPr>
        <w:lastRenderedPageBreak/>
        <w:t>TRACKING FORM</w:t>
      </w:r>
    </w:p>
    <w:p w14:paraId="7E52EFB0" w14:textId="77777777" w:rsidR="00A050EE" w:rsidRPr="00AE6104" w:rsidRDefault="00000000">
      <w:pPr>
        <w:spacing w:after="160" w:line="300" w:lineRule="auto"/>
        <w:jc w:val="both"/>
        <w:rPr>
          <w:sz w:val="24"/>
          <w:szCs w:val="24"/>
        </w:rPr>
      </w:pPr>
      <w:r w:rsidRPr="00AE6104">
        <w:rPr>
          <w:sz w:val="24"/>
          <w:szCs w:val="24"/>
        </w:rPr>
        <w:t>This form lets readers follow the forecast against events as 2027 unfolds. Mark each prediction as it resolves. This is a record of what was said in advance, kept exactly as written, whichever way events move.</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300"/>
        <w:gridCol w:w="2500"/>
        <w:gridCol w:w="1900"/>
      </w:tblGrid>
      <w:tr w:rsidR="00A050EE" w:rsidRPr="00AE6104" w14:paraId="68038F13" w14:textId="77777777">
        <w:tblPrEx>
          <w:tblCellMar>
            <w:top w:w="0" w:type="dxa"/>
            <w:bottom w:w="0" w:type="dxa"/>
          </w:tblCellMar>
        </w:tblPrEx>
        <w:trPr>
          <w:tblHeader/>
        </w:trPr>
        <w:tc>
          <w:tcPr>
            <w:tcW w:w="3600" w:type="dxa"/>
            <w:shd w:val="clear" w:color="auto" w:fill="1B2A4A"/>
            <w:tcMar>
              <w:top w:w="100" w:type="dxa"/>
              <w:left w:w="120" w:type="dxa"/>
              <w:bottom w:w="100" w:type="dxa"/>
              <w:right w:w="120" w:type="dxa"/>
            </w:tcMar>
            <w:vAlign w:val="center"/>
          </w:tcPr>
          <w:p w14:paraId="4EC231B7" w14:textId="77777777" w:rsidR="00A050EE" w:rsidRPr="00AE6104" w:rsidRDefault="00000000">
            <w:pPr>
              <w:rPr>
                <w:sz w:val="24"/>
                <w:szCs w:val="24"/>
              </w:rPr>
            </w:pPr>
            <w:r w:rsidRPr="00AE6104">
              <w:rPr>
                <w:b/>
                <w:bCs/>
                <w:color w:val="FFFFFF"/>
              </w:rPr>
              <w:t>Prediction</w:t>
            </w:r>
          </w:p>
        </w:tc>
        <w:tc>
          <w:tcPr>
            <w:tcW w:w="1300" w:type="dxa"/>
            <w:shd w:val="clear" w:color="auto" w:fill="1B2A4A"/>
            <w:tcMar>
              <w:top w:w="100" w:type="dxa"/>
              <w:left w:w="120" w:type="dxa"/>
              <w:bottom w:w="100" w:type="dxa"/>
              <w:right w:w="120" w:type="dxa"/>
            </w:tcMar>
            <w:vAlign w:val="center"/>
          </w:tcPr>
          <w:p w14:paraId="0AFA2036" w14:textId="77777777" w:rsidR="00A050EE" w:rsidRPr="00AE6104" w:rsidRDefault="00000000">
            <w:pPr>
              <w:rPr>
                <w:sz w:val="24"/>
                <w:szCs w:val="24"/>
              </w:rPr>
            </w:pPr>
            <w:r w:rsidRPr="00AE6104">
              <w:rPr>
                <w:b/>
                <w:bCs/>
                <w:color w:val="FFFFFF"/>
              </w:rPr>
              <w:t>Window</w:t>
            </w:r>
          </w:p>
        </w:tc>
        <w:tc>
          <w:tcPr>
            <w:tcW w:w="2500" w:type="dxa"/>
            <w:shd w:val="clear" w:color="auto" w:fill="1B2A4A"/>
            <w:tcMar>
              <w:top w:w="100" w:type="dxa"/>
              <w:left w:w="120" w:type="dxa"/>
              <w:bottom w:w="100" w:type="dxa"/>
              <w:right w:w="120" w:type="dxa"/>
            </w:tcMar>
            <w:vAlign w:val="center"/>
          </w:tcPr>
          <w:p w14:paraId="38B26C38" w14:textId="77777777" w:rsidR="00A050EE" w:rsidRPr="00AE6104" w:rsidRDefault="00000000">
            <w:pPr>
              <w:rPr>
                <w:sz w:val="24"/>
                <w:szCs w:val="24"/>
              </w:rPr>
            </w:pPr>
            <w:r w:rsidRPr="00AE6104">
              <w:rPr>
                <w:b/>
                <w:bCs/>
                <w:color w:val="FFFFFF"/>
              </w:rPr>
              <w:t>Status</w:t>
            </w:r>
          </w:p>
        </w:tc>
        <w:tc>
          <w:tcPr>
            <w:tcW w:w="1900" w:type="dxa"/>
            <w:shd w:val="clear" w:color="auto" w:fill="1B2A4A"/>
            <w:tcMar>
              <w:top w:w="100" w:type="dxa"/>
              <w:left w:w="120" w:type="dxa"/>
              <w:bottom w:w="100" w:type="dxa"/>
              <w:right w:w="120" w:type="dxa"/>
            </w:tcMar>
            <w:vAlign w:val="center"/>
          </w:tcPr>
          <w:p w14:paraId="2FEE6774" w14:textId="77777777" w:rsidR="00A050EE" w:rsidRPr="00AE6104" w:rsidRDefault="00000000">
            <w:pPr>
              <w:rPr>
                <w:sz w:val="24"/>
                <w:szCs w:val="24"/>
              </w:rPr>
            </w:pPr>
            <w:r w:rsidRPr="00AE6104">
              <w:rPr>
                <w:b/>
                <w:bCs/>
                <w:color w:val="FFFFFF"/>
              </w:rPr>
              <w:t>Notes</w:t>
            </w:r>
          </w:p>
        </w:tc>
      </w:tr>
      <w:tr w:rsidR="00A050EE" w:rsidRPr="00AE6104" w14:paraId="39B6C560" w14:textId="77777777">
        <w:tblPrEx>
          <w:tblCellMar>
            <w:top w:w="0" w:type="dxa"/>
            <w:bottom w:w="0" w:type="dxa"/>
          </w:tblCellMar>
        </w:tblPrEx>
        <w:tc>
          <w:tcPr>
            <w:tcW w:w="3600" w:type="dxa"/>
            <w:tcMar>
              <w:top w:w="120" w:type="dxa"/>
              <w:left w:w="120" w:type="dxa"/>
              <w:bottom w:w="120" w:type="dxa"/>
              <w:right w:w="120" w:type="dxa"/>
            </w:tcMar>
          </w:tcPr>
          <w:p w14:paraId="6B94C61C" w14:textId="77777777" w:rsidR="00A050EE" w:rsidRPr="00AE6104" w:rsidRDefault="00000000">
            <w:pPr>
              <w:rPr>
                <w:sz w:val="24"/>
                <w:szCs w:val="24"/>
              </w:rPr>
            </w:pPr>
            <w:r w:rsidRPr="00AE6104">
              <w:rPr>
                <w:sz w:val="20"/>
                <w:szCs w:val="20"/>
              </w:rPr>
              <w:t>Treasury financing pressure intensifies (issuance, yields, auction demand)</w:t>
            </w:r>
          </w:p>
        </w:tc>
        <w:tc>
          <w:tcPr>
            <w:tcW w:w="1300" w:type="dxa"/>
            <w:tcMar>
              <w:top w:w="120" w:type="dxa"/>
              <w:left w:w="120" w:type="dxa"/>
              <w:bottom w:w="120" w:type="dxa"/>
              <w:right w:w="120" w:type="dxa"/>
            </w:tcMar>
          </w:tcPr>
          <w:p w14:paraId="458103D4" w14:textId="77777777" w:rsidR="00A050EE" w:rsidRPr="00AE6104" w:rsidRDefault="00000000">
            <w:pPr>
              <w:rPr>
                <w:sz w:val="24"/>
                <w:szCs w:val="24"/>
              </w:rPr>
            </w:pPr>
            <w:r w:rsidRPr="00AE6104">
              <w:rPr>
                <w:i/>
                <w:iCs/>
                <w:color w:val="8B6914"/>
                <w:sz w:val="20"/>
                <w:szCs w:val="20"/>
              </w:rPr>
              <w:t>Throughout 2027</w:t>
            </w:r>
          </w:p>
        </w:tc>
        <w:tc>
          <w:tcPr>
            <w:tcW w:w="2500" w:type="dxa"/>
            <w:tcMar>
              <w:top w:w="120" w:type="dxa"/>
              <w:left w:w="120" w:type="dxa"/>
              <w:bottom w:w="120" w:type="dxa"/>
              <w:right w:w="120" w:type="dxa"/>
            </w:tcMar>
          </w:tcPr>
          <w:p w14:paraId="017CA5F9" w14:textId="77777777" w:rsidR="00A050EE" w:rsidRPr="00AE6104" w:rsidRDefault="00000000">
            <w:pPr>
              <w:rPr>
                <w:sz w:val="24"/>
                <w:szCs w:val="24"/>
              </w:rPr>
            </w:pPr>
            <w:r w:rsidRPr="00AE6104">
              <w:rPr>
                <w:sz w:val="18"/>
                <w:szCs w:val="18"/>
              </w:rPr>
              <w:t>☐ Confirmed</w:t>
            </w:r>
          </w:p>
          <w:p w14:paraId="25F7FFA6" w14:textId="77777777" w:rsidR="00A050EE" w:rsidRPr="00AE6104" w:rsidRDefault="00000000">
            <w:pPr>
              <w:rPr>
                <w:sz w:val="24"/>
                <w:szCs w:val="24"/>
              </w:rPr>
            </w:pPr>
            <w:r w:rsidRPr="00AE6104">
              <w:rPr>
                <w:sz w:val="18"/>
                <w:szCs w:val="18"/>
              </w:rPr>
              <w:t>☐ Partial</w:t>
            </w:r>
          </w:p>
          <w:p w14:paraId="36175401"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37FE8165" w14:textId="77777777" w:rsidR="00A050EE" w:rsidRPr="00AE6104" w:rsidRDefault="00000000">
            <w:pPr>
              <w:rPr>
                <w:sz w:val="24"/>
                <w:szCs w:val="24"/>
              </w:rPr>
            </w:pPr>
            <w:r w:rsidRPr="00AE6104">
              <w:rPr>
                <w:sz w:val="18"/>
                <w:szCs w:val="18"/>
              </w:rPr>
              <w:t xml:space="preserve"> </w:t>
            </w:r>
          </w:p>
        </w:tc>
      </w:tr>
      <w:tr w:rsidR="00A050EE" w:rsidRPr="00AE6104" w14:paraId="2F984940" w14:textId="77777777">
        <w:tblPrEx>
          <w:tblCellMar>
            <w:top w:w="0" w:type="dxa"/>
            <w:bottom w:w="0" w:type="dxa"/>
          </w:tblCellMar>
        </w:tblPrEx>
        <w:tc>
          <w:tcPr>
            <w:tcW w:w="3600" w:type="dxa"/>
            <w:tcMar>
              <w:top w:w="120" w:type="dxa"/>
              <w:left w:w="120" w:type="dxa"/>
              <w:bottom w:w="120" w:type="dxa"/>
              <w:right w:w="120" w:type="dxa"/>
            </w:tcMar>
          </w:tcPr>
          <w:p w14:paraId="33BECADE" w14:textId="77777777" w:rsidR="00A050EE" w:rsidRPr="00AE6104" w:rsidRDefault="00000000">
            <w:pPr>
              <w:rPr>
                <w:sz w:val="24"/>
                <w:szCs w:val="24"/>
              </w:rPr>
            </w:pPr>
            <w:r w:rsidRPr="00AE6104">
              <w:rPr>
                <w:sz w:val="20"/>
                <w:szCs w:val="20"/>
              </w:rPr>
              <w:t>Fed unable to deliver large, sustained rate cuts without deterioration first</w:t>
            </w:r>
          </w:p>
        </w:tc>
        <w:tc>
          <w:tcPr>
            <w:tcW w:w="1300" w:type="dxa"/>
            <w:tcMar>
              <w:top w:w="120" w:type="dxa"/>
              <w:left w:w="120" w:type="dxa"/>
              <w:bottom w:w="120" w:type="dxa"/>
              <w:right w:w="120" w:type="dxa"/>
            </w:tcMar>
          </w:tcPr>
          <w:p w14:paraId="39797C11" w14:textId="77777777" w:rsidR="00A050EE" w:rsidRPr="00AE6104" w:rsidRDefault="00000000">
            <w:pPr>
              <w:rPr>
                <w:sz w:val="24"/>
                <w:szCs w:val="24"/>
              </w:rPr>
            </w:pPr>
            <w:r w:rsidRPr="00AE6104">
              <w:rPr>
                <w:i/>
                <w:iCs/>
                <w:color w:val="8B6914"/>
                <w:sz w:val="20"/>
                <w:szCs w:val="20"/>
              </w:rPr>
              <w:t>Throughout 2027</w:t>
            </w:r>
          </w:p>
        </w:tc>
        <w:tc>
          <w:tcPr>
            <w:tcW w:w="2500" w:type="dxa"/>
            <w:tcMar>
              <w:top w:w="120" w:type="dxa"/>
              <w:left w:w="120" w:type="dxa"/>
              <w:bottom w:w="120" w:type="dxa"/>
              <w:right w:w="120" w:type="dxa"/>
            </w:tcMar>
          </w:tcPr>
          <w:p w14:paraId="049974B7" w14:textId="77777777" w:rsidR="00A050EE" w:rsidRPr="00AE6104" w:rsidRDefault="00000000">
            <w:pPr>
              <w:rPr>
                <w:sz w:val="24"/>
                <w:szCs w:val="24"/>
              </w:rPr>
            </w:pPr>
            <w:r w:rsidRPr="00AE6104">
              <w:rPr>
                <w:sz w:val="18"/>
                <w:szCs w:val="18"/>
              </w:rPr>
              <w:t>☐ Confirmed</w:t>
            </w:r>
          </w:p>
          <w:p w14:paraId="0E1F5079" w14:textId="77777777" w:rsidR="00A050EE" w:rsidRPr="00AE6104" w:rsidRDefault="00000000">
            <w:pPr>
              <w:rPr>
                <w:sz w:val="24"/>
                <w:szCs w:val="24"/>
              </w:rPr>
            </w:pPr>
            <w:r w:rsidRPr="00AE6104">
              <w:rPr>
                <w:sz w:val="18"/>
                <w:szCs w:val="18"/>
              </w:rPr>
              <w:t>☐ Partial</w:t>
            </w:r>
          </w:p>
          <w:p w14:paraId="625EEA14"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6E46DCFA" w14:textId="77777777" w:rsidR="00A050EE" w:rsidRPr="00AE6104" w:rsidRDefault="00000000">
            <w:pPr>
              <w:rPr>
                <w:sz w:val="24"/>
                <w:szCs w:val="24"/>
              </w:rPr>
            </w:pPr>
            <w:r w:rsidRPr="00AE6104">
              <w:rPr>
                <w:sz w:val="18"/>
                <w:szCs w:val="18"/>
              </w:rPr>
              <w:t xml:space="preserve"> </w:t>
            </w:r>
          </w:p>
        </w:tc>
      </w:tr>
      <w:tr w:rsidR="00A050EE" w:rsidRPr="00AE6104" w14:paraId="4FE02FB9" w14:textId="77777777">
        <w:tblPrEx>
          <w:tblCellMar>
            <w:top w:w="0" w:type="dxa"/>
            <w:bottom w:w="0" w:type="dxa"/>
          </w:tblCellMar>
        </w:tblPrEx>
        <w:tc>
          <w:tcPr>
            <w:tcW w:w="3600" w:type="dxa"/>
            <w:tcMar>
              <w:top w:w="120" w:type="dxa"/>
              <w:left w:w="120" w:type="dxa"/>
              <w:bottom w:w="120" w:type="dxa"/>
              <w:right w:w="120" w:type="dxa"/>
            </w:tcMar>
          </w:tcPr>
          <w:p w14:paraId="003EDB6B" w14:textId="77777777" w:rsidR="00A050EE" w:rsidRPr="00AE6104" w:rsidRDefault="00000000">
            <w:pPr>
              <w:rPr>
                <w:sz w:val="24"/>
                <w:szCs w:val="24"/>
              </w:rPr>
            </w:pPr>
            <w:r w:rsidRPr="00AE6104">
              <w:rPr>
                <w:sz w:val="20"/>
                <w:szCs w:val="20"/>
              </w:rPr>
              <w:t>Real GDP growth lands between stagnation and ~2%; no deep national depression</w:t>
            </w:r>
          </w:p>
        </w:tc>
        <w:tc>
          <w:tcPr>
            <w:tcW w:w="1300" w:type="dxa"/>
            <w:tcMar>
              <w:top w:w="120" w:type="dxa"/>
              <w:left w:w="120" w:type="dxa"/>
              <w:bottom w:w="120" w:type="dxa"/>
              <w:right w:w="120" w:type="dxa"/>
            </w:tcMar>
          </w:tcPr>
          <w:p w14:paraId="06745012" w14:textId="77777777" w:rsidR="00A050EE" w:rsidRPr="00AE6104" w:rsidRDefault="00000000">
            <w:pPr>
              <w:rPr>
                <w:sz w:val="24"/>
                <w:szCs w:val="24"/>
              </w:rPr>
            </w:pPr>
            <w:r w:rsidRPr="00AE6104">
              <w:rPr>
                <w:i/>
                <w:iCs/>
                <w:color w:val="8B6914"/>
                <w:sz w:val="20"/>
                <w:szCs w:val="20"/>
              </w:rPr>
              <w:t>Full-year 2027</w:t>
            </w:r>
          </w:p>
        </w:tc>
        <w:tc>
          <w:tcPr>
            <w:tcW w:w="2500" w:type="dxa"/>
            <w:tcMar>
              <w:top w:w="120" w:type="dxa"/>
              <w:left w:w="120" w:type="dxa"/>
              <w:bottom w:w="120" w:type="dxa"/>
              <w:right w:w="120" w:type="dxa"/>
            </w:tcMar>
          </w:tcPr>
          <w:p w14:paraId="37307EDC" w14:textId="77777777" w:rsidR="00A050EE" w:rsidRPr="00AE6104" w:rsidRDefault="00000000">
            <w:pPr>
              <w:rPr>
                <w:sz w:val="24"/>
                <w:szCs w:val="24"/>
              </w:rPr>
            </w:pPr>
            <w:r w:rsidRPr="00AE6104">
              <w:rPr>
                <w:sz w:val="18"/>
                <w:szCs w:val="18"/>
              </w:rPr>
              <w:t>☐ Confirmed</w:t>
            </w:r>
          </w:p>
          <w:p w14:paraId="5A7F883C" w14:textId="77777777" w:rsidR="00A050EE" w:rsidRPr="00AE6104" w:rsidRDefault="00000000">
            <w:pPr>
              <w:rPr>
                <w:sz w:val="24"/>
                <w:szCs w:val="24"/>
              </w:rPr>
            </w:pPr>
            <w:r w:rsidRPr="00AE6104">
              <w:rPr>
                <w:sz w:val="18"/>
                <w:szCs w:val="18"/>
              </w:rPr>
              <w:t>☐ Partial</w:t>
            </w:r>
          </w:p>
          <w:p w14:paraId="699A5656"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60EF1AB3" w14:textId="77777777" w:rsidR="00A050EE" w:rsidRPr="00AE6104" w:rsidRDefault="00000000">
            <w:pPr>
              <w:rPr>
                <w:sz w:val="24"/>
                <w:szCs w:val="24"/>
              </w:rPr>
            </w:pPr>
            <w:r w:rsidRPr="00AE6104">
              <w:rPr>
                <w:sz w:val="18"/>
                <w:szCs w:val="18"/>
              </w:rPr>
              <w:t xml:space="preserve"> </w:t>
            </w:r>
          </w:p>
        </w:tc>
      </w:tr>
      <w:tr w:rsidR="00A050EE" w:rsidRPr="00AE6104" w14:paraId="06A31331" w14:textId="77777777">
        <w:tblPrEx>
          <w:tblCellMar>
            <w:top w:w="0" w:type="dxa"/>
            <w:bottom w:w="0" w:type="dxa"/>
          </w:tblCellMar>
        </w:tblPrEx>
        <w:tc>
          <w:tcPr>
            <w:tcW w:w="3600" w:type="dxa"/>
            <w:tcMar>
              <w:top w:w="120" w:type="dxa"/>
              <w:left w:w="120" w:type="dxa"/>
              <w:bottom w:w="120" w:type="dxa"/>
              <w:right w:w="120" w:type="dxa"/>
            </w:tcMar>
          </w:tcPr>
          <w:p w14:paraId="6693BF38" w14:textId="77777777" w:rsidR="00A050EE" w:rsidRPr="00AE6104" w:rsidRDefault="00000000">
            <w:pPr>
              <w:rPr>
                <w:sz w:val="24"/>
                <w:szCs w:val="24"/>
              </w:rPr>
            </w:pPr>
            <w:r w:rsidRPr="00AE6104">
              <w:rPr>
                <w:sz w:val="20"/>
                <w:szCs w:val="20"/>
              </w:rPr>
              <w:t>AI investment continues while speculative AI valuations undergo a shakeout</w:t>
            </w:r>
          </w:p>
        </w:tc>
        <w:tc>
          <w:tcPr>
            <w:tcW w:w="1300" w:type="dxa"/>
            <w:tcMar>
              <w:top w:w="120" w:type="dxa"/>
              <w:left w:w="120" w:type="dxa"/>
              <w:bottom w:w="120" w:type="dxa"/>
              <w:right w:w="120" w:type="dxa"/>
            </w:tcMar>
          </w:tcPr>
          <w:p w14:paraId="4D1BC094" w14:textId="77777777" w:rsidR="00A050EE" w:rsidRPr="00AE6104" w:rsidRDefault="00000000">
            <w:pPr>
              <w:rPr>
                <w:sz w:val="24"/>
                <w:szCs w:val="24"/>
              </w:rPr>
            </w:pPr>
            <w:r w:rsidRPr="00AE6104">
              <w:rPr>
                <w:i/>
                <w:iCs/>
                <w:color w:val="8B6914"/>
                <w:sz w:val="20"/>
                <w:szCs w:val="20"/>
              </w:rPr>
              <w:t>Throughout 2027</w:t>
            </w:r>
          </w:p>
        </w:tc>
        <w:tc>
          <w:tcPr>
            <w:tcW w:w="2500" w:type="dxa"/>
            <w:tcMar>
              <w:top w:w="120" w:type="dxa"/>
              <w:left w:w="120" w:type="dxa"/>
              <w:bottom w:w="120" w:type="dxa"/>
              <w:right w:w="120" w:type="dxa"/>
            </w:tcMar>
          </w:tcPr>
          <w:p w14:paraId="3CB7C38F" w14:textId="77777777" w:rsidR="00A050EE" w:rsidRPr="00AE6104" w:rsidRDefault="00000000">
            <w:pPr>
              <w:rPr>
                <w:sz w:val="24"/>
                <w:szCs w:val="24"/>
              </w:rPr>
            </w:pPr>
            <w:r w:rsidRPr="00AE6104">
              <w:rPr>
                <w:sz w:val="18"/>
                <w:szCs w:val="18"/>
              </w:rPr>
              <w:t>☐ Confirmed</w:t>
            </w:r>
          </w:p>
          <w:p w14:paraId="70D61DF6" w14:textId="77777777" w:rsidR="00A050EE" w:rsidRPr="00AE6104" w:rsidRDefault="00000000">
            <w:pPr>
              <w:rPr>
                <w:sz w:val="24"/>
                <w:szCs w:val="24"/>
              </w:rPr>
            </w:pPr>
            <w:r w:rsidRPr="00AE6104">
              <w:rPr>
                <w:sz w:val="18"/>
                <w:szCs w:val="18"/>
              </w:rPr>
              <w:t>☐ Partial</w:t>
            </w:r>
          </w:p>
          <w:p w14:paraId="61485E7A"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305D4EC1" w14:textId="77777777" w:rsidR="00A050EE" w:rsidRPr="00AE6104" w:rsidRDefault="00000000">
            <w:pPr>
              <w:rPr>
                <w:sz w:val="24"/>
                <w:szCs w:val="24"/>
              </w:rPr>
            </w:pPr>
            <w:r w:rsidRPr="00AE6104">
              <w:rPr>
                <w:sz w:val="18"/>
                <w:szCs w:val="18"/>
              </w:rPr>
              <w:t xml:space="preserve"> </w:t>
            </w:r>
          </w:p>
        </w:tc>
      </w:tr>
      <w:tr w:rsidR="00A050EE" w:rsidRPr="00AE6104" w14:paraId="7ACA9C49" w14:textId="77777777">
        <w:tblPrEx>
          <w:tblCellMar>
            <w:top w:w="0" w:type="dxa"/>
            <w:bottom w:w="0" w:type="dxa"/>
          </w:tblCellMar>
        </w:tblPrEx>
        <w:tc>
          <w:tcPr>
            <w:tcW w:w="3600" w:type="dxa"/>
            <w:tcMar>
              <w:top w:w="120" w:type="dxa"/>
              <w:left w:w="120" w:type="dxa"/>
              <w:bottom w:w="120" w:type="dxa"/>
              <w:right w:w="120" w:type="dxa"/>
            </w:tcMar>
          </w:tcPr>
          <w:p w14:paraId="3923E072" w14:textId="77777777" w:rsidR="00A050EE" w:rsidRPr="00AE6104" w:rsidRDefault="00000000">
            <w:pPr>
              <w:rPr>
                <w:sz w:val="24"/>
                <w:szCs w:val="24"/>
              </w:rPr>
            </w:pPr>
            <w:r w:rsidRPr="00AE6104">
              <w:rPr>
                <w:sz w:val="20"/>
                <w:szCs w:val="20"/>
              </w:rPr>
              <w:t>Stock market correction of roughly 10% to 20% peak-to-trough</w:t>
            </w:r>
          </w:p>
        </w:tc>
        <w:tc>
          <w:tcPr>
            <w:tcW w:w="1300" w:type="dxa"/>
            <w:tcMar>
              <w:top w:w="120" w:type="dxa"/>
              <w:left w:w="120" w:type="dxa"/>
              <w:bottom w:w="120" w:type="dxa"/>
              <w:right w:w="120" w:type="dxa"/>
            </w:tcMar>
          </w:tcPr>
          <w:p w14:paraId="30663E3F" w14:textId="77777777" w:rsidR="00A050EE" w:rsidRPr="00AE6104" w:rsidRDefault="00000000">
            <w:pPr>
              <w:rPr>
                <w:sz w:val="24"/>
                <w:szCs w:val="24"/>
              </w:rPr>
            </w:pPr>
            <w:r w:rsidRPr="00AE6104">
              <w:rPr>
                <w:i/>
                <w:iCs/>
                <w:color w:val="8B6914"/>
                <w:sz w:val="20"/>
                <w:szCs w:val="20"/>
              </w:rPr>
              <w:t>Full-year 2027</w:t>
            </w:r>
          </w:p>
        </w:tc>
        <w:tc>
          <w:tcPr>
            <w:tcW w:w="2500" w:type="dxa"/>
            <w:tcMar>
              <w:top w:w="120" w:type="dxa"/>
              <w:left w:w="120" w:type="dxa"/>
              <w:bottom w:w="120" w:type="dxa"/>
              <w:right w:w="120" w:type="dxa"/>
            </w:tcMar>
          </w:tcPr>
          <w:p w14:paraId="5D6EBFA4" w14:textId="77777777" w:rsidR="00A050EE" w:rsidRPr="00AE6104" w:rsidRDefault="00000000">
            <w:pPr>
              <w:rPr>
                <w:sz w:val="24"/>
                <w:szCs w:val="24"/>
              </w:rPr>
            </w:pPr>
            <w:r w:rsidRPr="00AE6104">
              <w:rPr>
                <w:sz w:val="18"/>
                <w:szCs w:val="18"/>
              </w:rPr>
              <w:t>☐ Confirmed</w:t>
            </w:r>
          </w:p>
          <w:p w14:paraId="7CBADEBA" w14:textId="77777777" w:rsidR="00A050EE" w:rsidRPr="00AE6104" w:rsidRDefault="00000000">
            <w:pPr>
              <w:rPr>
                <w:sz w:val="24"/>
                <w:szCs w:val="24"/>
              </w:rPr>
            </w:pPr>
            <w:r w:rsidRPr="00AE6104">
              <w:rPr>
                <w:sz w:val="18"/>
                <w:szCs w:val="18"/>
              </w:rPr>
              <w:t>☐ Partial</w:t>
            </w:r>
          </w:p>
          <w:p w14:paraId="27FF71D8"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0DBF3115" w14:textId="77777777" w:rsidR="00A050EE" w:rsidRPr="00AE6104" w:rsidRDefault="00000000">
            <w:pPr>
              <w:rPr>
                <w:sz w:val="24"/>
                <w:szCs w:val="24"/>
              </w:rPr>
            </w:pPr>
            <w:r w:rsidRPr="00AE6104">
              <w:rPr>
                <w:sz w:val="18"/>
                <w:szCs w:val="18"/>
              </w:rPr>
              <w:t xml:space="preserve"> </w:t>
            </w:r>
          </w:p>
        </w:tc>
      </w:tr>
      <w:tr w:rsidR="00A050EE" w:rsidRPr="00AE6104" w14:paraId="35B2E89A" w14:textId="77777777">
        <w:tblPrEx>
          <w:tblCellMar>
            <w:top w:w="0" w:type="dxa"/>
            <w:bottom w:w="0" w:type="dxa"/>
          </w:tblCellMar>
        </w:tblPrEx>
        <w:tc>
          <w:tcPr>
            <w:tcW w:w="3600" w:type="dxa"/>
            <w:tcMar>
              <w:top w:w="120" w:type="dxa"/>
              <w:left w:w="120" w:type="dxa"/>
              <w:bottom w:w="120" w:type="dxa"/>
              <w:right w:w="120" w:type="dxa"/>
            </w:tcMar>
          </w:tcPr>
          <w:p w14:paraId="49DA9C6C" w14:textId="77777777" w:rsidR="00A050EE" w:rsidRPr="00AE6104" w:rsidRDefault="00000000">
            <w:pPr>
              <w:rPr>
                <w:sz w:val="24"/>
                <w:szCs w:val="24"/>
              </w:rPr>
            </w:pPr>
            <w:r w:rsidRPr="00AE6104">
              <w:rPr>
                <w:sz w:val="20"/>
                <w:szCs w:val="20"/>
              </w:rPr>
              <w:t>No direct government confiscation of 401(k) accounts</w:t>
            </w:r>
          </w:p>
        </w:tc>
        <w:tc>
          <w:tcPr>
            <w:tcW w:w="1300" w:type="dxa"/>
            <w:tcMar>
              <w:top w:w="120" w:type="dxa"/>
              <w:left w:w="120" w:type="dxa"/>
              <w:bottom w:w="120" w:type="dxa"/>
              <w:right w:w="120" w:type="dxa"/>
            </w:tcMar>
          </w:tcPr>
          <w:p w14:paraId="62AFB778" w14:textId="77777777" w:rsidR="00A050EE" w:rsidRPr="00AE6104" w:rsidRDefault="00000000">
            <w:pPr>
              <w:rPr>
                <w:sz w:val="24"/>
                <w:szCs w:val="24"/>
              </w:rPr>
            </w:pPr>
            <w:r w:rsidRPr="00AE6104">
              <w:rPr>
                <w:i/>
                <w:iCs/>
                <w:color w:val="8B6914"/>
                <w:sz w:val="20"/>
                <w:szCs w:val="20"/>
              </w:rPr>
              <w:t>Full-year 2027</w:t>
            </w:r>
          </w:p>
        </w:tc>
        <w:tc>
          <w:tcPr>
            <w:tcW w:w="2500" w:type="dxa"/>
            <w:tcMar>
              <w:top w:w="120" w:type="dxa"/>
              <w:left w:w="120" w:type="dxa"/>
              <w:bottom w:w="120" w:type="dxa"/>
              <w:right w:w="120" w:type="dxa"/>
            </w:tcMar>
          </w:tcPr>
          <w:p w14:paraId="0A1E6770" w14:textId="77777777" w:rsidR="00A050EE" w:rsidRPr="00AE6104" w:rsidRDefault="00000000">
            <w:pPr>
              <w:rPr>
                <w:sz w:val="24"/>
                <w:szCs w:val="24"/>
              </w:rPr>
            </w:pPr>
            <w:r w:rsidRPr="00AE6104">
              <w:rPr>
                <w:sz w:val="18"/>
                <w:szCs w:val="18"/>
              </w:rPr>
              <w:t>☐ Confirmed</w:t>
            </w:r>
          </w:p>
          <w:p w14:paraId="4B72FC4B" w14:textId="77777777" w:rsidR="00A050EE" w:rsidRPr="00AE6104" w:rsidRDefault="00000000">
            <w:pPr>
              <w:rPr>
                <w:sz w:val="24"/>
                <w:szCs w:val="24"/>
              </w:rPr>
            </w:pPr>
            <w:r w:rsidRPr="00AE6104">
              <w:rPr>
                <w:sz w:val="18"/>
                <w:szCs w:val="18"/>
              </w:rPr>
              <w:t>☐ Partial</w:t>
            </w:r>
          </w:p>
          <w:p w14:paraId="1545A376"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2B9CB405" w14:textId="77777777" w:rsidR="00A050EE" w:rsidRPr="00AE6104" w:rsidRDefault="00000000">
            <w:pPr>
              <w:rPr>
                <w:sz w:val="24"/>
                <w:szCs w:val="24"/>
              </w:rPr>
            </w:pPr>
            <w:r w:rsidRPr="00AE6104">
              <w:rPr>
                <w:sz w:val="18"/>
                <w:szCs w:val="18"/>
              </w:rPr>
              <w:t xml:space="preserve"> </w:t>
            </w:r>
          </w:p>
        </w:tc>
      </w:tr>
      <w:tr w:rsidR="00A050EE" w:rsidRPr="00AE6104" w14:paraId="55B3E4AA" w14:textId="77777777">
        <w:tblPrEx>
          <w:tblCellMar>
            <w:top w:w="0" w:type="dxa"/>
            <w:bottom w:w="0" w:type="dxa"/>
          </w:tblCellMar>
        </w:tblPrEx>
        <w:tc>
          <w:tcPr>
            <w:tcW w:w="3600" w:type="dxa"/>
            <w:tcMar>
              <w:top w:w="120" w:type="dxa"/>
              <w:left w:w="120" w:type="dxa"/>
              <w:bottom w:w="120" w:type="dxa"/>
              <w:right w:w="120" w:type="dxa"/>
            </w:tcMar>
          </w:tcPr>
          <w:p w14:paraId="2B922C0C" w14:textId="77777777" w:rsidR="00A050EE" w:rsidRPr="00AE6104" w:rsidRDefault="00000000">
            <w:pPr>
              <w:rPr>
                <w:sz w:val="24"/>
                <w:szCs w:val="24"/>
              </w:rPr>
            </w:pPr>
            <w:r w:rsidRPr="00AE6104">
              <w:rPr>
                <w:sz w:val="20"/>
                <w:szCs w:val="20"/>
              </w:rPr>
              <w:t>President remains in office through year-end</w:t>
            </w:r>
          </w:p>
        </w:tc>
        <w:tc>
          <w:tcPr>
            <w:tcW w:w="1300" w:type="dxa"/>
            <w:tcMar>
              <w:top w:w="120" w:type="dxa"/>
              <w:left w:w="120" w:type="dxa"/>
              <w:bottom w:w="120" w:type="dxa"/>
              <w:right w:w="120" w:type="dxa"/>
            </w:tcMar>
          </w:tcPr>
          <w:p w14:paraId="21B08282" w14:textId="77777777" w:rsidR="00A050EE" w:rsidRPr="00AE6104" w:rsidRDefault="00000000">
            <w:pPr>
              <w:rPr>
                <w:sz w:val="24"/>
                <w:szCs w:val="24"/>
              </w:rPr>
            </w:pPr>
            <w:r w:rsidRPr="00AE6104">
              <w:rPr>
                <w:i/>
                <w:iCs/>
                <w:color w:val="8B6914"/>
                <w:sz w:val="20"/>
                <w:szCs w:val="20"/>
              </w:rPr>
              <w:t>Full-year 2027</w:t>
            </w:r>
          </w:p>
        </w:tc>
        <w:tc>
          <w:tcPr>
            <w:tcW w:w="2500" w:type="dxa"/>
            <w:tcMar>
              <w:top w:w="120" w:type="dxa"/>
              <w:left w:w="120" w:type="dxa"/>
              <w:bottom w:w="120" w:type="dxa"/>
              <w:right w:w="120" w:type="dxa"/>
            </w:tcMar>
          </w:tcPr>
          <w:p w14:paraId="0B8B66E8" w14:textId="77777777" w:rsidR="00A050EE" w:rsidRPr="00AE6104" w:rsidRDefault="00000000">
            <w:pPr>
              <w:rPr>
                <w:sz w:val="24"/>
                <w:szCs w:val="24"/>
              </w:rPr>
            </w:pPr>
            <w:r w:rsidRPr="00AE6104">
              <w:rPr>
                <w:sz w:val="18"/>
                <w:szCs w:val="18"/>
              </w:rPr>
              <w:t>☐ Confirmed</w:t>
            </w:r>
          </w:p>
          <w:p w14:paraId="7DF7962A" w14:textId="77777777" w:rsidR="00A050EE" w:rsidRPr="00AE6104" w:rsidRDefault="00000000">
            <w:pPr>
              <w:rPr>
                <w:sz w:val="24"/>
                <w:szCs w:val="24"/>
              </w:rPr>
            </w:pPr>
            <w:r w:rsidRPr="00AE6104">
              <w:rPr>
                <w:sz w:val="18"/>
                <w:szCs w:val="18"/>
              </w:rPr>
              <w:t>☐ Partial</w:t>
            </w:r>
          </w:p>
          <w:p w14:paraId="1E48B8D4"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66E76252" w14:textId="77777777" w:rsidR="00A050EE" w:rsidRPr="00AE6104" w:rsidRDefault="00000000">
            <w:pPr>
              <w:rPr>
                <w:sz w:val="24"/>
                <w:szCs w:val="24"/>
              </w:rPr>
            </w:pPr>
            <w:r w:rsidRPr="00AE6104">
              <w:rPr>
                <w:sz w:val="18"/>
                <w:szCs w:val="18"/>
              </w:rPr>
              <w:t xml:space="preserve"> </w:t>
            </w:r>
          </w:p>
        </w:tc>
      </w:tr>
      <w:tr w:rsidR="00A050EE" w:rsidRPr="00AE6104" w14:paraId="1F68DA12" w14:textId="77777777">
        <w:tblPrEx>
          <w:tblCellMar>
            <w:top w:w="0" w:type="dxa"/>
            <w:bottom w:w="0" w:type="dxa"/>
          </w:tblCellMar>
        </w:tblPrEx>
        <w:tc>
          <w:tcPr>
            <w:tcW w:w="3600" w:type="dxa"/>
            <w:tcMar>
              <w:top w:w="120" w:type="dxa"/>
              <w:left w:w="120" w:type="dxa"/>
              <w:bottom w:w="120" w:type="dxa"/>
              <w:right w:w="120" w:type="dxa"/>
            </w:tcMar>
          </w:tcPr>
          <w:p w14:paraId="715837C7" w14:textId="77777777" w:rsidR="00A050EE" w:rsidRPr="00AE6104" w:rsidRDefault="00000000">
            <w:pPr>
              <w:rPr>
                <w:sz w:val="24"/>
                <w:szCs w:val="24"/>
              </w:rPr>
            </w:pPr>
            <w:r w:rsidRPr="00AE6104">
              <w:rPr>
                <w:sz w:val="20"/>
                <w:szCs w:val="20"/>
              </w:rPr>
              <w:t>Public protests and labor conflict increase versus 2026</w:t>
            </w:r>
          </w:p>
        </w:tc>
        <w:tc>
          <w:tcPr>
            <w:tcW w:w="1300" w:type="dxa"/>
            <w:tcMar>
              <w:top w:w="120" w:type="dxa"/>
              <w:left w:w="120" w:type="dxa"/>
              <w:bottom w:w="120" w:type="dxa"/>
              <w:right w:w="120" w:type="dxa"/>
            </w:tcMar>
          </w:tcPr>
          <w:p w14:paraId="6060CE51" w14:textId="77777777" w:rsidR="00A050EE" w:rsidRPr="00AE6104" w:rsidRDefault="00000000">
            <w:pPr>
              <w:rPr>
                <w:sz w:val="24"/>
                <w:szCs w:val="24"/>
              </w:rPr>
            </w:pPr>
            <w:r w:rsidRPr="00AE6104">
              <w:rPr>
                <w:i/>
                <w:iCs/>
                <w:color w:val="8B6914"/>
                <w:sz w:val="20"/>
                <w:szCs w:val="20"/>
              </w:rPr>
              <w:t>Full-year 2027</w:t>
            </w:r>
          </w:p>
        </w:tc>
        <w:tc>
          <w:tcPr>
            <w:tcW w:w="2500" w:type="dxa"/>
            <w:tcMar>
              <w:top w:w="120" w:type="dxa"/>
              <w:left w:w="120" w:type="dxa"/>
              <w:bottom w:w="120" w:type="dxa"/>
              <w:right w:w="120" w:type="dxa"/>
            </w:tcMar>
          </w:tcPr>
          <w:p w14:paraId="7CD7F188" w14:textId="77777777" w:rsidR="00A050EE" w:rsidRPr="00AE6104" w:rsidRDefault="00000000">
            <w:pPr>
              <w:rPr>
                <w:sz w:val="24"/>
                <w:szCs w:val="24"/>
              </w:rPr>
            </w:pPr>
            <w:r w:rsidRPr="00AE6104">
              <w:rPr>
                <w:sz w:val="18"/>
                <w:szCs w:val="18"/>
              </w:rPr>
              <w:t>☐ Confirmed</w:t>
            </w:r>
          </w:p>
          <w:p w14:paraId="0359F522" w14:textId="77777777" w:rsidR="00A050EE" w:rsidRPr="00AE6104" w:rsidRDefault="00000000">
            <w:pPr>
              <w:rPr>
                <w:sz w:val="24"/>
                <w:szCs w:val="24"/>
              </w:rPr>
            </w:pPr>
            <w:r w:rsidRPr="00AE6104">
              <w:rPr>
                <w:sz w:val="18"/>
                <w:szCs w:val="18"/>
              </w:rPr>
              <w:t>☐ Partial</w:t>
            </w:r>
          </w:p>
          <w:p w14:paraId="2D1DBD3E"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68F1CD96" w14:textId="77777777" w:rsidR="00A050EE" w:rsidRPr="00AE6104" w:rsidRDefault="00000000">
            <w:pPr>
              <w:rPr>
                <w:sz w:val="24"/>
                <w:szCs w:val="24"/>
              </w:rPr>
            </w:pPr>
            <w:r w:rsidRPr="00AE6104">
              <w:rPr>
                <w:sz w:val="18"/>
                <w:szCs w:val="18"/>
              </w:rPr>
              <w:t xml:space="preserve"> </w:t>
            </w:r>
          </w:p>
        </w:tc>
      </w:tr>
      <w:tr w:rsidR="00A050EE" w:rsidRPr="00AE6104" w14:paraId="6B67B5B6" w14:textId="77777777">
        <w:tblPrEx>
          <w:tblCellMar>
            <w:top w:w="0" w:type="dxa"/>
            <w:bottom w:w="0" w:type="dxa"/>
          </w:tblCellMar>
        </w:tblPrEx>
        <w:tc>
          <w:tcPr>
            <w:tcW w:w="3600" w:type="dxa"/>
            <w:tcMar>
              <w:top w:w="120" w:type="dxa"/>
              <w:left w:w="120" w:type="dxa"/>
              <w:bottom w:w="120" w:type="dxa"/>
              <w:right w:w="120" w:type="dxa"/>
            </w:tcMar>
          </w:tcPr>
          <w:p w14:paraId="1482B191" w14:textId="77777777" w:rsidR="00A050EE" w:rsidRPr="00AE6104" w:rsidRDefault="00000000">
            <w:pPr>
              <w:rPr>
                <w:sz w:val="24"/>
                <w:szCs w:val="24"/>
              </w:rPr>
            </w:pPr>
            <w:r w:rsidRPr="00AE6104">
              <w:rPr>
                <w:sz w:val="20"/>
                <w:szCs w:val="20"/>
              </w:rPr>
              <w:t>No complete, lasting end to the Iran conflict</w:t>
            </w:r>
          </w:p>
        </w:tc>
        <w:tc>
          <w:tcPr>
            <w:tcW w:w="1300" w:type="dxa"/>
            <w:tcMar>
              <w:top w:w="120" w:type="dxa"/>
              <w:left w:w="120" w:type="dxa"/>
              <w:bottom w:w="120" w:type="dxa"/>
              <w:right w:w="120" w:type="dxa"/>
            </w:tcMar>
          </w:tcPr>
          <w:p w14:paraId="74E2D706" w14:textId="77777777" w:rsidR="00A050EE" w:rsidRPr="00AE6104" w:rsidRDefault="00000000">
            <w:pPr>
              <w:rPr>
                <w:sz w:val="24"/>
                <w:szCs w:val="24"/>
              </w:rPr>
            </w:pPr>
            <w:r w:rsidRPr="00AE6104">
              <w:rPr>
                <w:i/>
                <w:iCs/>
                <w:color w:val="8B6914"/>
                <w:sz w:val="20"/>
                <w:szCs w:val="20"/>
              </w:rPr>
              <w:t>Full-year 2027</w:t>
            </w:r>
          </w:p>
        </w:tc>
        <w:tc>
          <w:tcPr>
            <w:tcW w:w="2500" w:type="dxa"/>
            <w:tcMar>
              <w:top w:w="120" w:type="dxa"/>
              <w:left w:w="120" w:type="dxa"/>
              <w:bottom w:w="120" w:type="dxa"/>
              <w:right w:w="120" w:type="dxa"/>
            </w:tcMar>
          </w:tcPr>
          <w:p w14:paraId="3D5FE8BB" w14:textId="77777777" w:rsidR="00A050EE" w:rsidRPr="00AE6104" w:rsidRDefault="00000000">
            <w:pPr>
              <w:rPr>
                <w:sz w:val="24"/>
                <w:szCs w:val="24"/>
              </w:rPr>
            </w:pPr>
            <w:r w:rsidRPr="00AE6104">
              <w:rPr>
                <w:sz w:val="18"/>
                <w:szCs w:val="18"/>
              </w:rPr>
              <w:t>☐ Confirmed</w:t>
            </w:r>
          </w:p>
          <w:p w14:paraId="237028F9" w14:textId="77777777" w:rsidR="00A050EE" w:rsidRPr="00AE6104" w:rsidRDefault="00000000">
            <w:pPr>
              <w:rPr>
                <w:sz w:val="24"/>
                <w:szCs w:val="24"/>
              </w:rPr>
            </w:pPr>
            <w:r w:rsidRPr="00AE6104">
              <w:rPr>
                <w:sz w:val="18"/>
                <w:szCs w:val="18"/>
              </w:rPr>
              <w:t>☐ Partial</w:t>
            </w:r>
          </w:p>
          <w:p w14:paraId="20E0A689"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65619395" w14:textId="77777777" w:rsidR="00A050EE" w:rsidRPr="00AE6104" w:rsidRDefault="00000000">
            <w:pPr>
              <w:rPr>
                <w:sz w:val="24"/>
                <w:szCs w:val="24"/>
              </w:rPr>
            </w:pPr>
            <w:r w:rsidRPr="00AE6104">
              <w:rPr>
                <w:sz w:val="18"/>
                <w:szCs w:val="18"/>
              </w:rPr>
              <w:t xml:space="preserve"> </w:t>
            </w:r>
          </w:p>
        </w:tc>
      </w:tr>
      <w:tr w:rsidR="00A050EE" w:rsidRPr="00AE6104" w14:paraId="3E90600D" w14:textId="77777777">
        <w:tblPrEx>
          <w:tblCellMar>
            <w:top w:w="0" w:type="dxa"/>
            <w:bottom w:w="0" w:type="dxa"/>
          </w:tblCellMar>
        </w:tblPrEx>
        <w:tc>
          <w:tcPr>
            <w:tcW w:w="3600" w:type="dxa"/>
            <w:tcMar>
              <w:top w:w="120" w:type="dxa"/>
              <w:left w:w="120" w:type="dxa"/>
              <w:bottom w:w="120" w:type="dxa"/>
              <w:right w:w="120" w:type="dxa"/>
            </w:tcMar>
          </w:tcPr>
          <w:p w14:paraId="04B2E741" w14:textId="77777777" w:rsidR="00A050EE" w:rsidRPr="00AE6104" w:rsidRDefault="00000000">
            <w:pPr>
              <w:rPr>
                <w:sz w:val="24"/>
                <w:szCs w:val="24"/>
              </w:rPr>
            </w:pPr>
            <w:r w:rsidRPr="00AE6104">
              <w:rPr>
                <w:sz w:val="20"/>
                <w:szCs w:val="20"/>
              </w:rPr>
              <w:t>House of Representatives changes to Democratic control</w:t>
            </w:r>
          </w:p>
        </w:tc>
        <w:tc>
          <w:tcPr>
            <w:tcW w:w="1300" w:type="dxa"/>
            <w:tcMar>
              <w:top w:w="120" w:type="dxa"/>
              <w:left w:w="120" w:type="dxa"/>
              <w:bottom w:w="120" w:type="dxa"/>
              <w:right w:w="120" w:type="dxa"/>
            </w:tcMar>
          </w:tcPr>
          <w:p w14:paraId="5E5E5DE3" w14:textId="77777777" w:rsidR="00A050EE" w:rsidRPr="00AE6104" w:rsidRDefault="00000000">
            <w:pPr>
              <w:rPr>
                <w:sz w:val="24"/>
                <w:szCs w:val="24"/>
              </w:rPr>
            </w:pPr>
            <w:r w:rsidRPr="00AE6104">
              <w:rPr>
                <w:i/>
                <w:iCs/>
                <w:color w:val="8B6914"/>
                <w:sz w:val="20"/>
                <w:szCs w:val="20"/>
              </w:rPr>
              <w:t>November 2027 elections</w:t>
            </w:r>
          </w:p>
        </w:tc>
        <w:tc>
          <w:tcPr>
            <w:tcW w:w="2500" w:type="dxa"/>
            <w:tcMar>
              <w:top w:w="120" w:type="dxa"/>
              <w:left w:w="120" w:type="dxa"/>
              <w:bottom w:w="120" w:type="dxa"/>
              <w:right w:w="120" w:type="dxa"/>
            </w:tcMar>
          </w:tcPr>
          <w:p w14:paraId="6544ACEC" w14:textId="77777777" w:rsidR="00A050EE" w:rsidRPr="00AE6104" w:rsidRDefault="00000000">
            <w:pPr>
              <w:rPr>
                <w:sz w:val="24"/>
                <w:szCs w:val="24"/>
              </w:rPr>
            </w:pPr>
            <w:r w:rsidRPr="00AE6104">
              <w:rPr>
                <w:sz w:val="18"/>
                <w:szCs w:val="18"/>
              </w:rPr>
              <w:t>☐ Confirmed</w:t>
            </w:r>
          </w:p>
          <w:p w14:paraId="16AAC350" w14:textId="77777777" w:rsidR="00A050EE" w:rsidRPr="00AE6104" w:rsidRDefault="00000000">
            <w:pPr>
              <w:rPr>
                <w:sz w:val="24"/>
                <w:szCs w:val="24"/>
              </w:rPr>
            </w:pPr>
            <w:r w:rsidRPr="00AE6104">
              <w:rPr>
                <w:sz w:val="18"/>
                <w:szCs w:val="18"/>
              </w:rPr>
              <w:t>☐ Partial</w:t>
            </w:r>
          </w:p>
          <w:p w14:paraId="301384EB"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77DEEF54" w14:textId="77777777" w:rsidR="00A050EE" w:rsidRPr="00AE6104" w:rsidRDefault="00000000">
            <w:pPr>
              <w:rPr>
                <w:sz w:val="24"/>
                <w:szCs w:val="24"/>
              </w:rPr>
            </w:pPr>
            <w:r w:rsidRPr="00AE6104">
              <w:rPr>
                <w:sz w:val="18"/>
                <w:szCs w:val="18"/>
              </w:rPr>
              <w:t xml:space="preserve"> </w:t>
            </w:r>
          </w:p>
        </w:tc>
      </w:tr>
      <w:tr w:rsidR="00A050EE" w:rsidRPr="00AE6104" w14:paraId="06F84F02" w14:textId="77777777">
        <w:tblPrEx>
          <w:tblCellMar>
            <w:top w:w="0" w:type="dxa"/>
            <w:bottom w:w="0" w:type="dxa"/>
          </w:tblCellMar>
        </w:tblPrEx>
        <w:tc>
          <w:tcPr>
            <w:tcW w:w="3600" w:type="dxa"/>
            <w:tcMar>
              <w:top w:w="120" w:type="dxa"/>
              <w:left w:w="120" w:type="dxa"/>
              <w:bottom w:w="120" w:type="dxa"/>
              <w:right w:w="120" w:type="dxa"/>
            </w:tcMar>
          </w:tcPr>
          <w:p w14:paraId="43C1BA59" w14:textId="77777777" w:rsidR="00A050EE" w:rsidRPr="00AE6104" w:rsidRDefault="00000000">
            <w:pPr>
              <w:rPr>
                <w:sz w:val="24"/>
                <w:szCs w:val="24"/>
              </w:rPr>
            </w:pPr>
            <w:r w:rsidRPr="00AE6104">
              <w:rPr>
                <w:sz w:val="20"/>
                <w:szCs w:val="20"/>
              </w:rPr>
              <w:t>Senate remains under Republican control</w:t>
            </w:r>
          </w:p>
        </w:tc>
        <w:tc>
          <w:tcPr>
            <w:tcW w:w="1300" w:type="dxa"/>
            <w:tcMar>
              <w:top w:w="120" w:type="dxa"/>
              <w:left w:w="120" w:type="dxa"/>
              <w:bottom w:w="120" w:type="dxa"/>
              <w:right w:w="120" w:type="dxa"/>
            </w:tcMar>
          </w:tcPr>
          <w:p w14:paraId="7A16CA2F" w14:textId="77777777" w:rsidR="00A050EE" w:rsidRPr="00AE6104" w:rsidRDefault="00000000">
            <w:pPr>
              <w:rPr>
                <w:sz w:val="24"/>
                <w:szCs w:val="24"/>
              </w:rPr>
            </w:pPr>
            <w:r w:rsidRPr="00AE6104">
              <w:rPr>
                <w:i/>
                <w:iCs/>
                <w:color w:val="8B6914"/>
                <w:sz w:val="20"/>
                <w:szCs w:val="20"/>
              </w:rPr>
              <w:t>November 2027 elections</w:t>
            </w:r>
          </w:p>
        </w:tc>
        <w:tc>
          <w:tcPr>
            <w:tcW w:w="2500" w:type="dxa"/>
            <w:tcMar>
              <w:top w:w="120" w:type="dxa"/>
              <w:left w:w="120" w:type="dxa"/>
              <w:bottom w:w="120" w:type="dxa"/>
              <w:right w:w="120" w:type="dxa"/>
            </w:tcMar>
          </w:tcPr>
          <w:p w14:paraId="575775D1" w14:textId="77777777" w:rsidR="00A050EE" w:rsidRPr="00AE6104" w:rsidRDefault="00000000">
            <w:pPr>
              <w:rPr>
                <w:sz w:val="24"/>
                <w:szCs w:val="24"/>
              </w:rPr>
            </w:pPr>
            <w:r w:rsidRPr="00AE6104">
              <w:rPr>
                <w:sz w:val="18"/>
                <w:szCs w:val="18"/>
              </w:rPr>
              <w:t>☐ Confirmed</w:t>
            </w:r>
          </w:p>
          <w:p w14:paraId="514FBFCC" w14:textId="77777777" w:rsidR="00A050EE" w:rsidRPr="00AE6104" w:rsidRDefault="00000000">
            <w:pPr>
              <w:rPr>
                <w:sz w:val="24"/>
                <w:szCs w:val="24"/>
              </w:rPr>
            </w:pPr>
            <w:r w:rsidRPr="00AE6104">
              <w:rPr>
                <w:sz w:val="18"/>
                <w:szCs w:val="18"/>
              </w:rPr>
              <w:t>☐ Partial</w:t>
            </w:r>
          </w:p>
          <w:p w14:paraId="7B7DCC06"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2408F6FF" w14:textId="77777777" w:rsidR="00A050EE" w:rsidRPr="00AE6104" w:rsidRDefault="00000000">
            <w:pPr>
              <w:rPr>
                <w:sz w:val="24"/>
                <w:szCs w:val="24"/>
              </w:rPr>
            </w:pPr>
            <w:r w:rsidRPr="00AE6104">
              <w:rPr>
                <w:sz w:val="18"/>
                <w:szCs w:val="18"/>
              </w:rPr>
              <w:t xml:space="preserve"> </w:t>
            </w:r>
          </w:p>
        </w:tc>
      </w:tr>
      <w:tr w:rsidR="00A050EE" w:rsidRPr="00AE6104" w14:paraId="3E52073B" w14:textId="77777777">
        <w:tblPrEx>
          <w:tblCellMar>
            <w:top w:w="0" w:type="dxa"/>
            <w:bottom w:w="0" w:type="dxa"/>
          </w:tblCellMar>
        </w:tblPrEx>
        <w:tc>
          <w:tcPr>
            <w:tcW w:w="3600" w:type="dxa"/>
            <w:tcMar>
              <w:top w:w="120" w:type="dxa"/>
              <w:left w:w="120" w:type="dxa"/>
              <w:bottom w:w="120" w:type="dxa"/>
              <w:right w:w="120" w:type="dxa"/>
            </w:tcMar>
          </w:tcPr>
          <w:p w14:paraId="7EFBC64E" w14:textId="77777777" w:rsidR="00A050EE" w:rsidRPr="00AE6104" w:rsidRDefault="00000000">
            <w:pPr>
              <w:rPr>
                <w:sz w:val="24"/>
                <w:szCs w:val="24"/>
              </w:rPr>
            </w:pPr>
            <w:r w:rsidRPr="00AE6104">
              <w:rPr>
                <w:sz w:val="20"/>
                <w:szCs w:val="20"/>
              </w:rPr>
              <w:lastRenderedPageBreak/>
              <w:t>Formal impeachment proceedings initiated</w:t>
            </w:r>
          </w:p>
        </w:tc>
        <w:tc>
          <w:tcPr>
            <w:tcW w:w="1300" w:type="dxa"/>
            <w:tcMar>
              <w:top w:w="120" w:type="dxa"/>
              <w:left w:w="120" w:type="dxa"/>
              <w:bottom w:w="120" w:type="dxa"/>
              <w:right w:w="120" w:type="dxa"/>
            </w:tcMar>
          </w:tcPr>
          <w:p w14:paraId="1BF3A296" w14:textId="77777777" w:rsidR="00A050EE" w:rsidRPr="00AE6104" w:rsidRDefault="00000000">
            <w:pPr>
              <w:rPr>
                <w:sz w:val="24"/>
                <w:szCs w:val="24"/>
              </w:rPr>
            </w:pPr>
            <w:r w:rsidRPr="00AE6104">
              <w:rPr>
                <w:i/>
                <w:iCs/>
                <w:color w:val="8B6914"/>
                <w:sz w:val="20"/>
                <w:szCs w:val="20"/>
              </w:rPr>
              <w:t>Contingent on House control</w:t>
            </w:r>
          </w:p>
        </w:tc>
        <w:tc>
          <w:tcPr>
            <w:tcW w:w="2500" w:type="dxa"/>
            <w:tcMar>
              <w:top w:w="120" w:type="dxa"/>
              <w:left w:w="120" w:type="dxa"/>
              <w:bottom w:w="120" w:type="dxa"/>
              <w:right w:w="120" w:type="dxa"/>
            </w:tcMar>
          </w:tcPr>
          <w:p w14:paraId="6CB11EE5" w14:textId="77777777" w:rsidR="00A050EE" w:rsidRPr="00AE6104" w:rsidRDefault="00000000">
            <w:pPr>
              <w:rPr>
                <w:sz w:val="24"/>
                <w:szCs w:val="24"/>
              </w:rPr>
            </w:pPr>
            <w:r w:rsidRPr="00AE6104">
              <w:rPr>
                <w:sz w:val="18"/>
                <w:szCs w:val="18"/>
              </w:rPr>
              <w:t>☐ Confirmed</w:t>
            </w:r>
          </w:p>
          <w:p w14:paraId="61FB1F31" w14:textId="77777777" w:rsidR="00A050EE" w:rsidRPr="00AE6104" w:rsidRDefault="00000000">
            <w:pPr>
              <w:rPr>
                <w:sz w:val="24"/>
                <w:szCs w:val="24"/>
              </w:rPr>
            </w:pPr>
            <w:r w:rsidRPr="00AE6104">
              <w:rPr>
                <w:sz w:val="18"/>
                <w:szCs w:val="18"/>
              </w:rPr>
              <w:t>☐ Partial</w:t>
            </w:r>
          </w:p>
          <w:p w14:paraId="79E87922"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667C017D" w14:textId="77777777" w:rsidR="00A050EE" w:rsidRPr="00AE6104" w:rsidRDefault="00000000">
            <w:pPr>
              <w:rPr>
                <w:sz w:val="24"/>
                <w:szCs w:val="24"/>
              </w:rPr>
            </w:pPr>
            <w:r w:rsidRPr="00AE6104">
              <w:rPr>
                <w:sz w:val="18"/>
                <w:szCs w:val="18"/>
              </w:rPr>
              <w:t xml:space="preserve"> </w:t>
            </w:r>
          </w:p>
        </w:tc>
      </w:tr>
      <w:tr w:rsidR="00A050EE" w:rsidRPr="00AE6104" w14:paraId="4030C67E" w14:textId="77777777">
        <w:tblPrEx>
          <w:tblCellMar>
            <w:top w:w="0" w:type="dxa"/>
            <w:bottom w:w="0" w:type="dxa"/>
          </w:tblCellMar>
        </w:tblPrEx>
        <w:tc>
          <w:tcPr>
            <w:tcW w:w="3600" w:type="dxa"/>
            <w:tcMar>
              <w:top w:w="120" w:type="dxa"/>
              <w:left w:w="120" w:type="dxa"/>
              <w:bottom w:w="120" w:type="dxa"/>
              <w:right w:w="120" w:type="dxa"/>
            </w:tcMar>
          </w:tcPr>
          <w:p w14:paraId="6BEC2EB5" w14:textId="77777777" w:rsidR="00A050EE" w:rsidRPr="00AE6104" w:rsidRDefault="00000000">
            <w:pPr>
              <w:rPr>
                <w:sz w:val="24"/>
                <w:szCs w:val="24"/>
              </w:rPr>
            </w:pPr>
            <w:r w:rsidRPr="00AE6104">
              <w:rPr>
                <w:sz w:val="20"/>
                <w:szCs w:val="20"/>
              </w:rPr>
              <w:t>Largest market break falls within late September – mid-November window</w:t>
            </w:r>
          </w:p>
        </w:tc>
        <w:tc>
          <w:tcPr>
            <w:tcW w:w="1300" w:type="dxa"/>
            <w:tcMar>
              <w:top w:w="120" w:type="dxa"/>
              <w:left w:w="120" w:type="dxa"/>
              <w:bottom w:w="120" w:type="dxa"/>
              <w:right w:w="120" w:type="dxa"/>
            </w:tcMar>
          </w:tcPr>
          <w:p w14:paraId="5EC8D282" w14:textId="77777777" w:rsidR="00A050EE" w:rsidRPr="00AE6104" w:rsidRDefault="00000000">
            <w:pPr>
              <w:rPr>
                <w:sz w:val="24"/>
                <w:szCs w:val="24"/>
              </w:rPr>
            </w:pPr>
            <w:r w:rsidRPr="00AE6104">
              <w:rPr>
                <w:i/>
                <w:iCs/>
                <w:color w:val="8B6914"/>
                <w:sz w:val="20"/>
                <w:szCs w:val="20"/>
              </w:rPr>
              <w:t>Sept–Nov 2027</w:t>
            </w:r>
          </w:p>
        </w:tc>
        <w:tc>
          <w:tcPr>
            <w:tcW w:w="2500" w:type="dxa"/>
            <w:tcMar>
              <w:top w:w="120" w:type="dxa"/>
              <w:left w:w="120" w:type="dxa"/>
              <w:bottom w:w="120" w:type="dxa"/>
              <w:right w:w="120" w:type="dxa"/>
            </w:tcMar>
          </w:tcPr>
          <w:p w14:paraId="5940AFB3" w14:textId="77777777" w:rsidR="00A050EE" w:rsidRPr="00AE6104" w:rsidRDefault="00000000">
            <w:pPr>
              <w:rPr>
                <w:sz w:val="24"/>
                <w:szCs w:val="24"/>
              </w:rPr>
            </w:pPr>
            <w:r w:rsidRPr="00AE6104">
              <w:rPr>
                <w:sz w:val="18"/>
                <w:szCs w:val="18"/>
              </w:rPr>
              <w:t>☐ Confirmed</w:t>
            </w:r>
          </w:p>
          <w:p w14:paraId="21A14424" w14:textId="77777777" w:rsidR="00A050EE" w:rsidRPr="00AE6104" w:rsidRDefault="00000000">
            <w:pPr>
              <w:rPr>
                <w:sz w:val="24"/>
                <w:szCs w:val="24"/>
              </w:rPr>
            </w:pPr>
            <w:r w:rsidRPr="00AE6104">
              <w:rPr>
                <w:sz w:val="18"/>
                <w:szCs w:val="18"/>
              </w:rPr>
              <w:t>☐ Partial</w:t>
            </w:r>
          </w:p>
          <w:p w14:paraId="42BFD1F3"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53E62BF2" w14:textId="77777777" w:rsidR="00A050EE" w:rsidRPr="00AE6104" w:rsidRDefault="00000000">
            <w:pPr>
              <w:rPr>
                <w:sz w:val="24"/>
                <w:szCs w:val="24"/>
              </w:rPr>
            </w:pPr>
            <w:r w:rsidRPr="00AE6104">
              <w:rPr>
                <w:sz w:val="18"/>
                <w:szCs w:val="18"/>
              </w:rPr>
              <w:t xml:space="preserve"> </w:t>
            </w:r>
          </w:p>
        </w:tc>
      </w:tr>
      <w:tr w:rsidR="00A050EE" w:rsidRPr="00AE6104" w14:paraId="7DEB7221" w14:textId="77777777">
        <w:tblPrEx>
          <w:tblCellMar>
            <w:top w:w="0" w:type="dxa"/>
            <w:bottom w:w="0" w:type="dxa"/>
          </w:tblCellMar>
        </w:tblPrEx>
        <w:tc>
          <w:tcPr>
            <w:tcW w:w="3600" w:type="dxa"/>
            <w:tcMar>
              <w:top w:w="120" w:type="dxa"/>
              <w:left w:w="120" w:type="dxa"/>
              <w:bottom w:w="120" w:type="dxa"/>
              <w:right w:w="120" w:type="dxa"/>
            </w:tcMar>
          </w:tcPr>
          <w:p w14:paraId="2A3BB8F9" w14:textId="77777777" w:rsidR="00A050EE" w:rsidRPr="00AE6104" w:rsidRDefault="00000000">
            <w:pPr>
              <w:rPr>
                <w:sz w:val="24"/>
                <w:szCs w:val="24"/>
              </w:rPr>
            </w:pPr>
            <w:r w:rsidRPr="00AE6104">
              <w:rPr>
                <w:sz w:val="20"/>
                <w:szCs w:val="20"/>
              </w:rPr>
              <w:t>Selective AI repricing rather than a broad AI-sector crash</w:t>
            </w:r>
          </w:p>
        </w:tc>
        <w:tc>
          <w:tcPr>
            <w:tcW w:w="1300" w:type="dxa"/>
            <w:tcMar>
              <w:top w:w="120" w:type="dxa"/>
              <w:left w:w="120" w:type="dxa"/>
              <w:bottom w:w="120" w:type="dxa"/>
              <w:right w:w="120" w:type="dxa"/>
            </w:tcMar>
          </w:tcPr>
          <w:p w14:paraId="50340332" w14:textId="77777777" w:rsidR="00A050EE" w:rsidRPr="00AE6104" w:rsidRDefault="00000000">
            <w:pPr>
              <w:rPr>
                <w:sz w:val="24"/>
                <w:szCs w:val="24"/>
              </w:rPr>
            </w:pPr>
            <w:r w:rsidRPr="00AE6104">
              <w:rPr>
                <w:i/>
                <w:iCs/>
                <w:color w:val="8B6914"/>
                <w:sz w:val="20"/>
                <w:szCs w:val="20"/>
              </w:rPr>
              <w:t>Full-year 2027</w:t>
            </w:r>
          </w:p>
        </w:tc>
        <w:tc>
          <w:tcPr>
            <w:tcW w:w="2500" w:type="dxa"/>
            <w:tcMar>
              <w:top w:w="120" w:type="dxa"/>
              <w:left w:w="120" w:type="dxa"/>
              <w:bottom w:w="120" w:type="dxa"/>
              <w:right w:w="120" w:type="dxa"/>
            </w:tcMar>
          </w:tcPr>
          <w:p w14:paraId="766B6DBA" w14:textId="77777777" w:rsidR="00A050EE" w:rsidRPr="00AE6104" w:rsidRDefault="00000000">
            <w:pPr>
              <w:rPr>
                <w:sz w:val="24"/>
                <w:szCs w:val="24"/>
              </w:rPr>
            </w:pPr>
            <w:r w:rsidRPr="00AE6104">
              <w:rPr>
                <w:sz w:val="18"/>
                <w:szCs w:val="18"/>
              </w:rPr>
              <w:t>☐ Confirmed</w:t>
            </w:r>
          </w:p>
          <w:p w14:paraId="125D6D3D" w14:textId="77777777" w:rsidR="00A050EE" w:rsidRPr="00AE6104" w:rsidRDefault="00000000">
            <w:pPr>
              <w:rPr>
                <w:sz w:val="24"/>
                <w:szCs w:val="24"/>
              </w:rPr>
            </w:pPr>
            <w:r w:rsidRPr="00AE6104">
              <w:rPr>
                <w:sz w:val="18"/>
                <w:szCs w:val="18"/>
              </w:rPr>
              <w:t>☐ Partial</w:t>
            </w:r>
          </w:p>
          <w:p w14:paraId="25346998"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66C3BB0B" w14:textId="77777777" w:rsidR="00A050EE" w:rsidRPr="00AE6104" w:rsidRDefault="00000000">
            <w:pPr>
              <w:rPr>
                <w:sz w:val="24"/>
                <w:szCs w:val="24"/>
              </w:rPr>
            </w:pPr>
            <w:r w:rsidRPr="00AE6104">
              <w:rPr>
                <w:sz w:val="18"/>
                <w:szCs w:val="18"/>
              </w:rPr>
              <w:t xml:space="preserve"> </w:t>
            </w:r>
          </w:p>
        </w:tc>
      </w:tr>
      <w:tr w:rsidR="00A050EE" w:rsidRPr="00AE6104" w14:paraId="7DF28D76" w14:textId="77777777">
        <w:tblPrEx>
          <w:tblCellMar>
            <w:top w:w="0" w:type="dxa"/>
            <w:bottom w:w="0" w:type="dxa"/>
          </w:tblCellMar>
        </w:tblPrEx>
        <w:tc>
          <w:tcPr>
            <w:tcW w:w="3600" w:type="dxa"/>
            <w:tcMar>
              <w:top w:w="120" w:type="dxa"/>
              <w:left w:w="120" w:type="dxa"/>
              <w:bottom w:w="120" w:type="dxa"/>
              <w:right w:w="120" w:type="dxa"/>
            </w:tcMar>
          </w:tcPr>
          <w:p w14:paraId="4C8653B9" w14:textId="77777777" w:rsidR="00A050EE" w:rsidRPr="00AE6104" w:rsidRDefault="00000000">
            <w:pPr>
              <w:rPr>
                <w:sz w:val="24"/>
                <w:szCs w:val="24"/>
              </w:rPr>
            </w:pPr>
            <w:r w:rsidRPr="00AE6104">
              <w:rPr>
                <w:sz w:val="20"/>
                <w:szCs w:val="20"/>
              </w:rPr>
              <w:t>West most exposed to AI/technology correction; East most exposed to Treasury and financial-market stress</w:t>
            </w:r>
          </w:p>
        </w:tc>
        <w:tc>
          <w:tcPr>
            <w:tcW w:w="1300" w:type="dxa"/>
            <w:tcMar>
              <w:top w:w="120" w:type="dxa"/>
              <w:left w:w="120" w:type="dxa"/>
              <w:bottom w:w="120" w:type="dxa"/>
              <w:right w:w="120" w:type="dxa"/>
            </w:tcMar>
          </w:tcPr>
          <w:p w14:paraId="5846C43C" w14:textId="77777777" w:rsidR="00A050EE" w:rsidRPr="00AE6104" w:rsidRDefault="00000000">
            <w:pPr>
              <w:rPr>
                <w:sz w:val="24"/>
                <w:szCs w:val="24"/>
              </w:rPr>
            </w:pPr>
            <w:r w:rsidRPr="00AE6104">
              <w:rPr>
                <w:i/>
                <w:iCs/>
                <w:color w:val="8B6914"/>
                <w:sz w:val="20"/>
                <w:szCs w:val="20"/>
              </w:rPr>
              <w:t>Full-year 2027</w:t>
            </w:r>
          </w:p>
        </w:tc>
        <w:tc>
          <w:tcPr>
            <w:tcW w:w="2500" w:type="dxa"/>
            <w:tcMar>
              <w:top w:w="120" w:type="dxa"/>
              <w:left w:w="120" w:type="dxa"/>
              <w:bottom w:w="120" w:type="dxa"/>
              <w:right w:w="120" w:type="dxa"/>
            </w:tcMar>
          </w:tcPr>
          <w:p w14:paraId="2DE31E72" w14:textId="77777777" w:rsidR="00A050EE" w:rsidRPr="00AE6104" w:rsidRDefault="00000000">
            <w:pPr>
              <w:rPr>
                <w:sz w:val="24"/>
                <w:szCs w:val="24"/>
              </w:rPr>
            </w:pPr>
            <w:r w:rsidRPr="00AE6104">
              <w:rPr>
                <w:sz w:val="18"/>
                <w:szCs w:val="18"/>
              </w:rPr>
              <w:t>☐ Confirmed</w:t>
            </w:r>
          </w:p>
          <w:p w14:paraId="7D13BD6C" w14:textId="77777777" w:rsidR="00A050EE" w:rsidRPr="00AE6104" w:rsidRDefault="00000000">
            <w:pPr>
              <w:rPr>
                <w:sz w:val="24"/>
                <w:szCs w:val="24"/>
              </w:rPr>
            </w:pPr>
            <w:r w:rsidRPr="00AE6104">
              <w:rPr>
                <w:sz w:val="18"/>
                <w:szCs w:val="18"/>
              </w:rPr>
              <w:t>☐ Partial</w:t>
            </w:r>
          </w:p>
          <w:p w14:paraId="7956D968" w14:textId="77777777" w:rsidR="00A050EE" w:rsidRPr="00AE6104" w:rsidRDefault="00000000">
            <w:pPr>
              <w:rPr>
                <w:sz w:val="24"/>
                <w:szCs w:val="24"/>
              </w:rPr>
            </w:pPr>
            <w:r w:rsidRPr="00AE6104">
              <w:rPr>
                <w:sz w:val="18"/>
                <w:szCs w:val="18"/>
              </w:rPr>
              <w:t>☐ Not confirmed</w:t>
            </w:r>
          </w:p>
        </w:tc>
        <w:tc>
          <w:tcPr>
            <w:tcW w:w="1900" w:type="dxa"/>
            <w:tcMar>
              <w:top w:w="120" w:type="dxa"/>
              <w:left w:w="120" w:type="dxa"/>
              <w:bottom w:w="120" w:type="dxa"/>
              <w:right w:w="120" w:type="dxa"/>
            </w:tcMar>
          </w:tcPr>
          <w:p w14:paraId="13DF70AE" w14:textId="77777777" w:rsidR="00A050EE" w:rsidRPr="00AE6104" w:rsidRDefault="00000000">
            <w:pPr>
              <w:rPr>
                <w:sz w:val="24"/>
                <w:szCs w:val="24"/>
              </w:rPr>
            </w:pPr>
            <w:r w:rsidRPr="00AE6104">
              <w:rPr>
                <w:sz w:val="18"/>
                <w:szCs w:val="18"/>
              </w:rPr>
              <w:t xml:space="preserve"> </w:t>
            </w:r>
          </w:p>
        </w:tc>
      </w:tr>
    </w:tbl>
    <w:p w14:paraId="5D29E84B" w14:textId="77777777" w:rsidR="00A050EE" w:rsidRPr="00AE6104" w:rsidRDefault="00000000">
      <w:pPr>
        <w:rPr>
          <w:sz w:val="24"/>
          <w:szCs w:val="24"/>
        </w:rPr>
      </w:pPr>
      <w:r w:rsidRPr="00AE6104">
        <w:rPr>
          <w:sz w:val="24"/>
          <w:szCs w:val="24"/>
        </w:rPr>
        <w:br w:type="page"/>
      </w:r>
    </w:p>
    <w:p w14:paraId="2BC16BF9" w14:textId="77777777" w:rsidR="00A050EE" w:rsidRPr="00AE6104" w:rsidRDefault="00000000">
      <w:pPr>
        <w:pStyle w:val="Heading1"/>
        <w:pBdr>
          <w:bottom w:val="single" w:sz="8" w:space="4" w:color="B8860B"/>
        </w:pBdr>
        <w:spacing w:before="480" w:after="200"/>
        <w:rPr>
          <w:sz w:val="36"/>
          <w:szCs w:val="36"/>
        </w:rPr>
      </w:pPr>
      <w:r w:rsidRPr="00AE6104">
        <w:rPr>
          <w:b/>
          <w:bCs/>
          <w:color w:val="1B2A4A"/>
        </w:rPr>
        <w:lastRenderedPageBreak/>
        <w:t>HOW THESE PREDICTIONS WERE MADE</w:t>
      </w:r>
    </w:p>
    <w:p w14:paraId="36580A6C" w14:textId="77777777" w:rsidR="00A050EE" w:rsidRPr="00AE6104" w:rsidRDefault="00000000">
      <w:pPr>
        <w:spacing w:after="160" w:line="300" w:lineRule="auto"/>
        <w:jc w:val="both"/>
        <w:rPr>
          <w:sz w:val="24"/>
          <w:szCs w:val="24"/>
        </w:rPr>
      </w:pPr>
      <w:r w:rsidRPr="00AE6104">
        <w:rPr>
          <w:sz w:val="24"/>
          <w:szCs w:val="24"/>
        </w:rPr>
        <w:t>These predictions were developed through three layers of analysis.</w:t>
      </w:r>
    </w:p>
    <w:p w14:paraId="6A949857" w14:textId="77777777" w:rsidR="00A050EE" w:rsidRPr="00AE6104" w:rsidRDefault="00000000">
      <w:pPr>
        <w:spacing w:after="160" w:line="300" w:lineRule="auto"/>
        <w:jc w:val="both"/>
        <w:rPr>
          <w:sz w:val="24"/>
          <w:szCs w:val="24"/>
        </w:rPr>
      </w:pPr>
      <w:r w:rsidRPr="00AE6104">
        <w:rPr>
          <w:sz w:val="24"/>
          <w:szCs w:val="24"/>
        </w:rPr>
        <w:t>First, I examined the United States annual charts for 2026 and 2027, with particular attention to the presidency, Congress, national finances, debt, war, employment, public unrest, health, and foreign relations. The 2027 spring chart established the year's central conditions, while the autumn chart was used to confirm how those conditions might intensify or change during the second half.</w:t>
      </w:r>
    </w:p>
    <w:p w14:paraId="61A529E7" w14:textId="77777777" w:rsidR="00A050EE" w:rsidRPr="00AE6104" w:rsidRDefault="00000000">
      <w:pPr>
        <w:spacing w:after="160" w:line="300" w:lineRule="auto"/>
        <w:jc w:val="both"/>
        <w:rPr>
          <w:sz w:val="24"/>
          <w:szCs w:val="24"/>
        </w:rPr>
      </w:pPr>
      <w:r w:rsidRPr="00AE6104">
        <w:rPr>
          <w:sz w:val="24"/>
          <w:szCs w:val="24"/>
        </w:rPr>
        <w:t xml:space="preserve">Second, I applied traditional methods drawn primarily from </w:t>
      </w:r>
      <w:proofErr w:type="spellStart"/>
      <w:r w:rsidRPr="00AE6104">
        <w:rPr>
          <w:sz w:val="24"/>
          <w:szCs w:val="24"/>
        </w:rPr>
        <w:t>Abenragel</w:t>
      </w:r>
      <w:proofErr w:type="spellEnd"/>
      <w:r w:rsidRPr="00AE6104">
        <w:rPr>
          <w:sz w:val="24"/>
          <w:szCs w:val="24"/>
        </w:rPr>
        <w:t xml:space="preserve">, </w:t>
      </w:r>
      <w:proofErr w:type="spellStart"/>
      <w:r w:rsidRPr="00AE6104">
        <w:rPr>
          <w:sz w:val="24"/>
          <w:szCs w:val="24"/>
        </w:rPr>
        <w:t>Abū</w:t>
      </w:r>
      <w:proofErr w:type="spellEnd"/>
      <w:r w:rsidRPr="00AE6104">
        <w:rPr>
          <w:sz w:val="24"/>
          <w:szCs w:val="24"/>
        </w:rPr>
        <w:t xml:space="preserve"> Maʿshar, Ptolemy, </w:t>
      </w:r>
      <w:proofErr w:type="spellStart"/>
      <w:r w:rsidRPr="00AE6104">
        <w:rPr>
          <w:sz w:val="24"/>
          <w:szCs w:val="24"/>
        </w:rPr>
        <w:t>Ramesey</w:t>
      </w:r>
      <w:proofErr w:type="spellEnd"/>
      <w:r w:rsidRPr="00AE6104">
        <w:rPr>
          <w:sz w:val="24"/>
          <w:szCs w:val="24"/>
        </w:rPr>
        <w:t>, Dorotheus, and the AETA course material. I did not treat one isolated indication as sufficient. Confidence increased only when the same subject appeared repeatedly through independent factors in both annual charts.</w:t>
      </w:r>
    </w:p>
    <w:p w14:paraId="18457D21" w14:textId="77777777" w:rsidR="00A050EE" w:rsidRPr="00AE6104" w:rsidRDefault="00000000">
      <w:pPr>
        <w:spacing w:after="160" w:line="300" w:lineRule="auto"/>
        <w:jc w:val="both"/>
        <w:rPr>
          <w:sz w:val="24"/>
          <w:szCs w:val="24"/>
        </w:rPr>
      </w:pPr>
      <w:r w:rsidRPr="00AE6104">
        <w:rPr>
          <w:sz w:val="24"/>
          <w:szCs w:val="24"/>
        </w:rPr>
        <w:t>Third, the astrological conclusions were compared against observable economic conditions, including federal deficits, Treasury borrowing, interest rates, inflation, AI investment, energy disruptions, corporate profitability, and the labor market. This prevented the interpretation from becoming disconnected from reality.</w:t>
      </w:r>
    </w:p>
    <w:p w14:paraId="3CDE1848" w14:textId="77777777" w:rsidR="00A050EE" w:rsidRPr="00AE6104" w:rsidRDefault="00000000">
      <w:pPr>
        <w:pStyle w:val="Heading1"/>
        <w:pBdr>
          <w:bottom w:val="single" w:sz="8" w:space="4" w:color="B8860B"/>
        </w:pBdr>
        <w:spacing w:before="480" w:after="200"/>
        <w:rPr>
          <w:sz w:val="36"/>
          <w:szCs w:val="36"/>
        </w:rPr>
      </w:pPr>
      <w:r w:rsidRPr="00AE6104">
        <w:rPr>
          <w:b/>
          <w:bCs/>
          <w:color w:val="1B2A4A"/>
        </w:rPr>
        <w:t>WHAT CAN CHANGE</w:t>
      </w:r>
    </w:p>
    <w:p w14:paraId="2F564BF6" w14:textId="77777777" w:rsidR="00A050EE" w:rsidRPr="00AE6104" w:rsidRDefault="00000000">
      <w:pPr>
        <w:spacing w:after="160" w:line="300" w:lineRule="auto"/>
        <w:jc w:val="both"/>
        <w:rPr>
          <w:sz w:val="24"/>
          <w:szCs w:val="24"/>
        </w:rPr>
      </w:pPr>
      <w:r w:rsidRPr="00AE6104">
        <w:rPr>
          <w:sz w:val="24"/>
          <w:szCs w:val="24"/>
        </w:rPr>
        <w:t>Astrology, within this traditional framework, describes prevailing conditions, pressures, and periods of greater vulnerability. It does not remove human agency or compel one unavoidable event.</w:t>
      </w:r>
    </w:p>
    <w:p w14:paraId="1CACF2FD" w14:textId="77777777" w:rsidR="00A050EE" w:rsidRPr="00AE6104" w:rsidRDefault="00000000">
      <w:pPr>
        <w:spacing w:after="160" w:line="300" w:lineRule="auto"/>
        <w:jc w:val="both"/>
        <w:rPr>
          <w:sz w:val="24"/>
          <w:szCs w:val="24"/>
        </w:rPr>
      </w:pPr>
      <w:r w:rsidRPr="00AE6104">
        <w:rPr>
          <w:sz w:val="24"/>
          <w:szCs w:val="24"/>
        </w:rPr>
        <w:t>For example:</w:t>
      </w:r>
    </w:p>
    <w:p w14:paraId="31F2867D" w14:textId="77777777" w:rsidR="00A050EE" w:rsidRPr="00AE6104" w:rsidRDefault="00000000">
      <w:pPr>
        <w:pStyle w:val="ListParagraph"/>
        <w:numPr>
          <w:ilvl w:val="0"/>
          <w:numId w:val="2"/>
        </w:numPr>
        <w:spacing w:after="100"/>
        <w:rPr>
          <w:sz w:val="24"/>
          <w:szCs w:val="24"/>
        </w:rPr>
      </w:pPr>
      <w:r w:rsidRPr="00AE6104">
        <w:rPr>
          <w:sz w:val="24"/>
          <w:szCs w:val="24"/>
        </w:rPr>
        <w:t>Financial pressure may become a market crisis if officials ignore it, or a controlled correction if they act early.</w:t>
      </w:r>
    </w:p>
    <w:p w14:paraId="401E3430" w14:textId="77777777" w:rsidR="00A050EE" w:rsidRPr="00AE6104" w:rsidRDefault="00000000">
      <w:pPr>
        <w:pStyle w:val="ListParagraph"/>
        <w:numPr>
          <w:ilvl w:val="0"/>
          <w:numId w:val="2"/>
        </w:numPr>
        <w:spacing w:after="100"/>
        <w:rPr>
          <w:sz w:val="24"/>
          <w:szCs w:val="24"/>
        </w:rPr>
      </w:pPr>
      <w:r w:rsidRPr="00AE6104">
        <w:rPr>
          <w:sz w:val="24"/>
          <w:szCs w:val="24"/>
        </w:rPr>
        <w:t>Military tension may become open escalation, prolonged containment, or negotiation.</w:t>
      </w:r>
    </w:p>
    <w:p w14:paraId="61C4F9EA" w14:textId="77777777" w:rsidR="00A050EE" w:rsidRPr="00AE6104" w:rsidRDefault="00000000">
      <w:pPr>
        <w:pStyle w:val="ListParagraph"/>
        <w:numPr>
          <w:ilvl w:val="0"/>
          <w:numId w:val="2"/>
        </w:numPr>
        <w:spacing w:after="100"/>
        <w:rPr>
          <w:sz w:val="24"/>
          <w:szCs w:val="24"/>
        </w:rPr>
      </w:pPr>
      <w:r w:rsidRPr="00AE6104">
        <w:rPr>
          <w:sz w:val="24"/>
          <w:szCs w:val="24"/>
        </w:rPr>
        <w:t>Political conflict may produce impeachment, investigations, legislative paralysis, or concessions.</w:t>
      </w:r>
    </w:p>
    <w:p w14:paraId="5CB47619" w14:textId="77777777" w:rsidR="00A050EE" w:rsidRPr="00AE6104" w:rsidRDefault="00000000">
      <w:pPr>
        <w:pStyle w:val="ListParagraph"/>
        <w:numPr>
          <w:ilvl w:val="0"/>
          <w:numId w:val="2"/>
        </w:numPr>
        <w:spacing w:after="100"/>
        <w:rPr>
          <w:sz w:val="24"/>
          <w:szCs w:val="24"/>
        </w:rPr>
      </w:pPr>
      <w:r w:rsidRPr="00AE6104">
        <w:rPr>
          <w:sz w:val="24"/>
          <w:szCs w:val="24"/>
        </w:rPr>
        <w:t>An AI investment excess may end in a crash, or in a selective restructuring that removes weaker companies while preserving the industry.</w:t>
      </w:r>
    </w:p>
    <w:p w14:paraId="12239319" w14:textId="77777777" w:rsidR="00A050EE" w:rsidRPr="00AE6104" w:rsidRDefault="00000000">
      <w:pPr>
        <w:pStyle w:val="ListParagraph"/>
        <w:numPr>
          <w:ilvl w:val="0"/>
          <w:numId w:val="2"/>
        </w:numPr>
        <w:spacing w:after="100"/>
        <w:rPr>
          <w:sz w:val="24"/>
          <w:szCs w:val="24"/>
        </w:rPr>
      </w:pPr>
      <w:r w:rsidRPr="00AE6104">
        <w:rPr>
          <w:sz w:val="24"/>
          <w:szCs w:val="24"/>
        </w:rPr>
        <w:t>Public frustration may become organized protest, electoral change, or policy reform.</w:t>
      </w:r>
    </w:p>
    <w:p w14:paraId="79CEDCC7" w14:textId="77777777" w:rsidR="00A050EE" w:rsidRPr="00AE6104" w:rsidRDefault="00000000">
      <w:pPr>
        <w:spacing w:after="160" w:line="300" w:lineRule="auto"/>
        <w:jc w:val="both"/>
        <w:rPr>
          <w:sz w:val="24"/>
          <w:szCs w:val="24"/>
        </w:rPr>
      </w:pPr>
      <w:r w:rsidRPr="00AE6104">
        <w:rPr>
          <w:sz w:val="24"/>
          <w:szCs w:val="24"/>
        </w:rPr>
        <w:t>Government decisions, Federal Reserve policy, court rulings, diplomacy, emergency spending, regulation, and private-sector responses can therefore change the course and severity of events.</w:t>
      </w:r>
    </w:p>
    <w:p w14:paraId="0FF8AF10" w14:textId="77777777" w:rsidR="00A050EE" w:rsidRPr="00AE6104" w:rsidRDefault="00000000">
      <w:pPr>
        <w:spacing w:after="160" w:line="300" w:lineRule="auto"/>
        <w:jc w:val="both"/>
        <w:rPr>
          <w:sz w:val="24"/>
          <w:szCs w:val="24"/>
        </w:rPr>
      </w:pPr>
      <w:r w:rsidRPr="00AE6104">
        <w:rPr>
          <w:sz w:val="24"/>
          <w:szCs w:val="24"/>
        </w:rPr>
        <w:t>This is not an excuse for a failed prediction. It is the distinction between the underlying condition and its final manifestation. The pressure may remain present, while intelligent action changes how it is expressed.</w:t>
      </w:r>
    </w:p>
    <w:p w14:paraId="5260BA86" w14:textId="77777777" w:rsidR="00A050EE" w:rsidRPr="00AE6104" w:rsidRDefault="00000000">
      <w:pPr>
        <w:spacing w:after="160" w:line="300" w:lineRule="auto"/>
        <w:jc w:val="both"/>
        <w:rPr>
          <w:sz w:val="24"/>
          <w:szCs w:val="24"/>
        </w:rPr>
      </w:pPr>
      <w:r w:rsidRPr="00AE6104">
        <w:rPr>
          <w:sz w:val="24"/>
          <w:szCs w:val="24"/>
        </w:rPr>
        <w:t xml:space="preserve">If government officials understood the warning periods in advance, astrology could theoretically be used as a form of strategic risk management. They could strengthen liquidity before financial stress, negotiate </w:t>
      </w:r>
      <w:r w:rsidRPr="00AE6104">
        <w:rPr>
          <w:sz w:val="24"/>
          <w:szCs w:val="24"/>
        </w:rPr>
        <w:lastRenderedPageBreak/>
        <w:t>before military escalation, protect energy supplies, prepare hospitals, reinforce cybersecurity, or delay a dangerous policy decision.</w:t>
      </w:r>
    </w:p>
    <w:p w14:paraId="63E08BFB" w14:textId="77777777" w:rsidR="00A050EE" w:rsidRPr="00AE6104" w:rsidRDefault="00000000">
      <w:pPr>
        <w:spacing w:after="160" w:line="300" w:lineRule="auto"/>
        <w:jc w:val="both"/>
        <w:rPr>
          <w:sz w:val="24"/>
          <w:szCs w:val="24"/>
        </w:rPr>
      </w:pPr>
      <w:r w:rsidRPr="00AE6104">
        <w:rPr>
          <w:sz w:val="24"/>
          <w:szCs w:val="24"/>
        </w:rPr>
        <w:t>The most dependable part of the forecast is therefore not an exact headline. It is the identification of the dominant pressures: debt, expensive credit, political constraint, AI overinvestment, energy insecurity, and growing inequality. The precise dates, magnitude, geographic concentration, and political actors remain more vulnerable to human intervention and unforeseen events.</w:t>
      </w:r>
    </w:p>
    <w:p w14:paraId="38670C34" w14:textId="77777777" w:rsidR="00A050EE" w:rsidRPr="00AE6104" w:rsidRDefault="00000000">
      <w:pPr>
        <w:spacing w:before="400"/>
        <w:jc w:val="center"/>
        <w:rPr>
          <w:sz w:val="24"/>
          <w:szCs w:val="24"/>
        </w:rPr>
      </w:pPr>
      <w:r w:rsidRPr="00AE6104">
        <w:rPr>
          <w:color w:val="B8860B"/>
          <w:sz w:val="28"/>
          <w:szCs w:val="28"/>
        </w:rPr>
        <w:t>🜁 🜂 🜄 🜃</w:t>
      </w:r>
    </w:p>
    <w:p w14:paraId="644BEF92" w14:textId="77777777" w:rsidR="00A050EE" w:rsidRPr="00AE6104" w:rsidRDefault="00000000">
      <w:pPr>
        <w:spacing w:before="200"/>
        <w:jc w:val="center"/>
        <w:rPr>
          <w:sz w:val="24"/>
          <w:szCs w:val="24"/>
        </w:rPr>
      </w:pPr>
      <w:r w:rsidRPr="00AE6104">
        <w:rPr>
          <w:i/>
          <w:iCs/>
          <w:color w:val="8B6914"/>
        </w:rPr>
        <w:t>Raziel Magus  —  razielmagus.com/predictions</w:t>
      </w:r>
    </w:p>
    <w:sectPr w:rsidR="00A050EE" w:rsidRPr="00AE6104">
      <w:headerReference w:type="default" r:id="rId19"/>
      <w:footerReference w:type="default" r:id="rId20"/>
      <w:pgSz w:w="12240" w:h="15840"/>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B90DA" w14:textId="77777777" w:rsidR="000A4388" w:rsidRDefault="000A4388">
      <w:r>
        <w:separator/>
      </w:r>
    </w:p>
  </w:endnote>
  <w:endnote w:type="continuationSeparator" w:id="0">
    <w:p w14:paraId="0ED0BC92" w14:textId="77777777" w:rsidR="000A4388" w:rsidRDefault="000A4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98F7" w14:textId="77777777" w:rsidR="00A050EE" w:rsidRDefault="00000000">
    <w:pPr>
      <w:jc w:val="center"/>
    </w:pPr>
    <w:r>
      <w:rPr>
        <w:color w:val="8B6914"/>
        <w:sz w:val="14"/>
        <w:szCs w:val="14"/>
      </w:rPr>
      <w:t xml:space="preserve">razielmagus.com/predictions  •  Page </w:t>
    </w:r>
    <w:r>
      <w:rPr>
        <w:color w:val="8B6914"/>
        <w:sz w:val="14"/>
        <w:szCs w:val="14"/>
      </w:rPr>
      <w:fldChar w:fldCharType="begin"/>
    </w:r>
    <w:r>
      <w:rPr>
        <w:color w:val="8B6914"/>
        <w:sz w:val="14"/>
        <w:szCs w:val="14"/>
      </w:rPr>
      <w:instrText>PAGE</w:instrText>
    </w:r>
    <w:r>
      <w:rPr>
        <w:color w:val="8B6914"/>
        <w:sz w:val="14"/>
        <w:szCs w:val="14"/>
      </w:rPr>
      <w:fldChar w:fldCharType="separate"/>
    </w:r>
    <w:r w:rsidR="00AE6104">
      <w:rPr>
        <w:noProof/>
        <w:color w:val="8B6914"/>
        <w:sz w:val="14"/>
        <w:szCs w:val="14"/>
      </w:rPr>
      <w:t>1</w:t>
    </w:r>
    <w:r>
      <w:rPr>
        <w:color w:val="8B6914"/>
        <w:sz w:val="14"/>
        <w:szCs w:val="14"/>
      </w:rPr>
      <w:fldChar w:fldCharType="end"/>
    </w:r>
    <w:r>
      <w:rPr>
        <w:color w:val="8B6914"/>
        <w:sz w:val="14"/>
        <w:szCs w:val="14"/>
      </w:rPr>
      <w:t xml:space="preserve"> of </w:t>
    </w:r>
    <w:r>
      <w:rPr>
        <w:color w:val="8B6914"/>
        <w:sz w:val="14"/>
        <w:szCs w:val="14"/>
      </w:rPr>
      <w:fldChar w:fldCharType="begin"/>
    </w:r>
    <w:r>
      <w:rPr>
        <w:color w:val="8B6914"/>
        <w:sz w:val="14"/>
        <w:szCs w:val="14"/>
      </w:rPr>
      <w:instrText>NUMPAGES</w:instrText>
    </w:r>
    <w:r>
      <w:rPr>
        <w:color w:val="8B6914"/>
        <w:sz w:val="14"/>
        <w:szCs w:val="14"/>
      </w:rPr>
      <w:fldChar w:fldCharType="separate"/>
    </w:r>
    <w:r w:rsidR="00AE6104">
      <w:rPr>
        <w:noProof/>
        <w:color w:val="8B6914"/>
        <w:sz w:val="14"/>
        <w:szCs w:val="14"/>
      </w:rPr>
      <w:t>2</w:t>
    </w:r>
    <w:r>
      <w:rPr>
        <w:color w:val="8B6914"/>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643AE" w14:textId="77777777" w:rsidR="000A4388" w:rsidRDefault="000A4388">
      <w:r>
        <w:separator/>
      </w:r>
    </w:p>
  </w:footnote>
  <w:footnote w:type="continuationSeparator" w:id="0">
    <w:p w14:paraId="4E6E3A17" w14:textId="77777777" w:rsidR="000A4388" w:rsidRDefault="000A4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7A21" w14:textId="77777777" w:rsidR="00A050EE" w:rsidRDefault="00000000">
    <w:pPr>
      <w:pBdr>
        <w:bottom w:val="single" w:sz="4" w:space="4" w:color="B8860B"/>
      </w:pBdr>
      <w:jc w:val="center"/>
    </w:pPr>
    <w:r>
      <w:rPr>
        <w:color w:val="8B6914"/>
        <w:sz w:val="14"/>
        <w:szCs w:val="14"/>
      </w:rPr>
      <w:t>RAZIEL MAGUS  •  STARS OF DEBT AND DOMINION  •  2027 FORECAST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7344"/>
    <w:multiLevelType w:val="hybridMultilevel"/>
    <w:tmpl w:val="A120D124"/>
    <w:lvl w:ilvl="0" w:tplc="F8382AB8">
      <w:start w:val="1"/>
      <w:numFmt w:val="bullet"/>
      <w:lvlText w:val="●"/>
      <w:lvlJc w:val="left"/>
      <w:pPr>
        <w:ind w:left="720" w:hanging="360"/>
      </w:pPr>
    </w:lvl>
    <w:lvl w:ilvl="1" w:tplc="5A38901A">
      <w:start w:val="1"/>
      <w:numFmt w:val="bullet"/>
      <w:lvlText w:val="○"/>
      <w:lvlJc w:val="left"/>
      <w:pPr>
        <w:ind w:left="1440" w:hanging="360"/>
      </w:pPr>
    </w:lvl>
    <w:lvl w:ilvl="2" w:tplc="9EAA7354">
      <w:start w:val="1"/>
      <w:numFmt w:val="bullet"/>
      <w:lvlText w:val="■"/>
      <w:lvlJc w:val="left"/>
      <w:pPr>
        <w:ind w:left="2160" w:hanging="360"/>
      </w:pPr>
    </w:lvl>
    <w:lvl w:ilvl="3" w:tplc="F9189BD0">
      <w:start w:val="1"/>
      <w:numFmt w:val="bullet"/>
      <w:lvlText w:val="●"/>
      <w:lvlJc w:val="left"/>
      <w:pPr>
        <w:ind w:left="2880" w:hanging="360"/>
      </w:pPr>
    </w:lvl>
    <w:lvl w:ilvl="4" w:tplc="1E62FC5E">
      <w:start w:val="1"/>
      <w:numFmt w:val="bullet"/>
      <w:lvlText w:val="○"/>
      <w:lvlJc w:val="left"/>
      <w:pPr>
        <w:ind w:left="3600" w:hanging="360"/>
      </w:pPr>
    </w:lvl>
    <w:lvl w:ilvl="5" w:tplc="2FB21FA4">
      <w:start w:val="1"/>
      <w:numFmt w:val="bullet"/>
      <w:lvlText w:val="■"/>
      <w:lvlJc w:val="left"/>
      <w:pPr>
        <w:ind w:left="4320" w:hanging="360"/>
      </w:pPr>
    </w:lvl>
    <w:lvl w:ilvl="6" w:tplc="4E50B378">
      <w:start w:val="1"/>
      <w:numFmt w:val="bullet"/>
      <w:lvlText w:val="●"/>
      <w:lvlJc w:val="left"/>
      <w:pPr>
        <w:ind w:left="5040" w:hanging="360"/>
      </w:pPr>
    </w:lvl>
    <w:lvl w:ilvl="7" w:tplc="8188D14E">
      <w:start w:val="1"/>
      <w:numFmt w:val="bullet"/>
      <w:lvlText w:val="●"/>
      <w:lvlJc w:val="left"/>
      <w:pPr>
        <w:ind w:left="5760" w:hanging="360"/>
      </w:pPr>
    </w:lvl>
    <w:lvl w:ilvl="8" w:tplc="2F309B42">
      <w:start w:val="1"/>
      <w:numFmt w:val="bullet"/>
      <w:lvlText w:val="●"/>
      <w:lvlJc w:val="left"/>
      <w:pPr>
        <w:ind w:left="6480" w:hanging="360"/>
      </w:pPr>
    </w:lvl>
  </w:abstractNum>
  <w:abstractNum w:abstractNumId="1" w15:restartNumberingAfterBreak="0">
    <w:nsid w:val="4AA73C00"/>
    <w:multiLevelType w:val="hybridMultilevel"/>
    <w:tmpl w:val="F952419C"/>
    <w:lvl w:ilvl="0" w:tplc="71986642">
      <w:start w:val="1"/>
      <w:numFmt w:val="bullet"/>
      <w:lvlText w:val="•"/>
      <w:lvlJc w:val="left"/>
      <w:pPr>
        <w:ind w:left="480" w:hanging="260"/>
      </w:pPr>
      <w:rPr>
        <w:color w:val="B8860B"/>
      </w:rPr>
    </w:lvl>
    <w:lvl w:ilvl="1" w:tplc="4DF4EF86">
      <w:numFmt w:val="decimal"/>
      <w:lvlText w:val=""/>
      <w:lvlJc w:val="left"/>
    </w:lvl>
    <w:lvl w:ilvl="2" w:tplc="8A265F44">
      <w:numFmt w:val="decimal"/>
      <w:lvlText w:val=""/>
      <w:lvlJc w:val="left"/>
    </w:lvl>
    <w:lvl w:ilvl="3" w:tplc="1C94DC42">
      <w:numFmt w:val="decimal"/>
      <w:lvlText w:val=""/>
      <w:lvlJc w:val="left"/>
    </w:lvl>
    <w:lvl w:ilvl="4" w:tplc="54C69104">
      <w:numFmt w:val="decimal"/>
      <w:lvlText w:val=""/>
      <w:lvlJc w:val="left"/>
    </w:lvl>
    <w:lvl w:ilvl="5" w:tplc="BB82DB6C">
      <w:numFmt w:val="decimal"/>
      <w:lvlText w:val=""/>
      <w:lvlJc w:val="left"/>
    </w:lvl>
    <w:lvl w:ilvl="6" w:tplc="815ACA40">
      <w:numFmt w:val="decimal"/>
      <w:lvlText w:val=""/>
      <w:lvlJc w:val="left"/>
    </w:lvl>
    <w:lvl w:ilvl="7" w:tplc="9F282D64">
      <w:numFmt w:val="decimal"/>
      <w:lvlText w:val=""/>
      <w:lvlJc w:val="left"/>
    </w:lvl>
    <w:lvl w:ilvl="8" w:tplc="C988E0F0">
      <w:numFmt w:val="decimal"/>
      <w:lvlText w:val=""/>
      <w:lvlJc w:val="left"/>
    </w:lvl>
  </w:abstractNum>
  <w:num w:numId="1" w16cid:durableId="1599099344">
    <w:abstractNumId w:val="0"/>
    <w:lvlOverride w:ilvl="0">
      <w:startOverride w:val="1"/>
    </w:lvlOverride>
  </w:num>
  <w:num w:numId="2" w16cid:durableId="195613637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EE"/>
    <w:rsid w:val="000A4388"/>
    <w:rsid w:val="00586E4C"/>
    <w:rsid w:val="00A050EE"/>
    <w:rsid w:val="00AE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6081B"/>
  <w15:docId w15:val="{C48DEEBB-5148-4989-8876-36710C808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color w:val="2C2C2C"/>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AE61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bo.gov/publication/61882" TargetMode="External"/><Relationship Id="rId13" Type="http://schemas.openxmlformats.org/officeDocument/2006/relationships/hyperlink" Target="https://www.federalreserve.gov/newsevents/speech/barr20260714a.htm" TargetMode="External"/><Relationship Id="rId18" Type="http://schemas.openxmlformats.org/officeDocument/2006/relationships/hyperlink" Target="https://www.270towin.com/2026-senate-election-prediction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bea.gov/news/2026/gdp-second-estimate-and-corporate-profits-2nd-quarter-2026" TargetMode="External"/><Relationship Id="rId17" Type="http://schemas.openxmlformats.org/officeDocument/2006/relationships/hyperlink" Target="https://decisiondeskhq.substack.com/p/2026-midterm-election-forecast-tight-race-congress-senate-house" TargetMode="External"/><Relationship Id="rId2" Type="http://schemas.openxmlformats.org/officeDocument/2006/relationships/styles" Target="styles.xml"/><Relationship Id="rId16" Type="http://schemas.openxmlformats.org/officeDocument/2006/relationships/hyperlink" Target="https://ballotpedia.org/United_States_Congress_elections%2C_2026"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ome.treasury.gov/news/press-releases/sb0591" TargetMode="External"/><Relationship Id="rId5" Type="http://schemas.openxmlformats.org/officeDocument/2006/relationships/footnotes" Target="footnotes.xml"/><Relationship Id="rId15" Type="http://schemas.openxmlformats.org/officeDocument/2006/relationships/hyperlink" Target="https://home.treasury.gov/news/press-releases/sb0591" TargetMode="External"/><Relationship Id="rId10" Type="http://schemas.openxmlformats.org/officeDocument/2006/relationships/hyperlink" Target="https://home.treasury.gov/news/press-releases/sb0385"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bo.gov/publication/61984" TargetMode="External"/><Relationship Id="rId14" Type="http://schemas.openxmlformats.org/officeDocument/2006/relationships/hyperlink" Target="https://home.treasury.gov/news/press-releases/sb059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20</Pages>
  <Words>4983</Words>
  <Characters>28409</Characters>
  <Application>Microsoft Office Word</Application>
  <DocSecurity>0</DocSecurity>
  <Lines>236</Lines>
  <Paragraphs>66</Paragraphs>
  <ScaleCrop>false</ScaleCrop>
  <Company/>
  <LinksUpToDate>false</LinksUpToDate>
  <CharactersWithSpaces>33326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of Debt and Dominion — Raziel Magus's 2027 Forecast</dc:title>
  <dc:creator>Raziel Magus</dc:creator>
  <cp:lastModifiedBy>David Pinnacle Attainment</cp:lastModifiedBy>
  <cp:revision>2</cp:revision>
  <dcterms:created xsi:type="dcterms:W3CDTF">2026-09-12T17:32:00Z</dcterms:created>
  <dcterms:modified xsi:type="dcterms:W3CDTF">2026-09-12T17:42:00Z</dcterms:modified>
</cp:coreProperties>
</file>