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600"/>
        <w:jc w:val="center"/>
      </w:pPr>
      <w:r>
        <w:rPr>
          <w:b/>
          <w:bCs/>
          <w:color w:val="A67026"/>
          <w:sz w:val="24"/>
          <w:szCs w:val="24"/>
        </w:rPr>
        <w:t xml:space="preserve">AETA</w:t>
      </w:r>
    </w:p>
    <w:p>
      <w:pPr>
        <w:spacing w:after="120"/>
        <w:jc w:val="center"/>
      </w:pPr>
      <w:r>
        <w:rPr>
          <w:b/>
          <w:bCs/>
          <w:color w:val="1C314A"/>
          <w:sz w:val="40"/>
          <w:szCs w:val="40"/>
        </w:rPr>
        <w:t xml:space="preserve">CURSO COMPLETO DE ASTROLOGÍA TRADICIONAL</w:t>
      </w:r>
    </w:p>
    <w:p>
      <w:pPr>
        <w:spacing w:after="200"/>
        <w:jc w:val="center"/>
      </w:pPr>
      <w:r>
        <w:rPr>
          <w:b/>
          <w:bCs/>
          <w:color w:val="2B5F82"/>
          <w:sz w:val="28"/>
          <w:szCs w:val="28"/>
        </w:rPr>
        <w:t xml:space="preserve">Programa del curso (Syllabus)</w:t>
      </w:r>
    </w:p>
    <w:p>
      <w:pPr>
        <w:spacing w:after="500"/>
        <w:jc w:val="center"/>
      </w:pPr>
      <w:r>
        <w:rPr>
          <w:color w:val="5C6770"/>
          <w:sz w:val="20"/>
          <w:szCs w:val="20"/>
        </w:rPr>
        <w:t xml:space="preserve">Edición española · 26 lecciones · secuencia AETA preservada</w:t>
      </w:r>
    </w:p>
    <w:p>
      <w:pPr>
        <w:pStyle w:val="Heading1"/>
        <w:spacing w:after="200" w:before="200"/>
      </w:pPr>
      <w:r>
        <w:rPr>
          <w:color w:val="1C314A"/>
        </w:rPr>
        <w:t xml:space="preserve">¿Por qué es uno de los cursos más completos de astrología tradicional?</w:t>
      </w:r>
    </w:p>
    <w:p>
      <w:pPr>
        <w:spacing w:after="200"/>
        <w:jc w:val="both"/>
      </w:pPr>
      <w:r>
        <w:rPr>
          <w:sz w:val="22"/>
          <w:szCs w:val="22"/>
        </w:rPr>
        <w:t xml:space="preserve">La astrología tradicional no es una colección de reglas aisladas: es un sistema completo de conocimiento, transmitido durante más de dos mil años por autores cuyas obras siguen siendo la base de toda predicción seria hoy en día. Este curso no interpreta esa tradición de segunda mano — trabaja directamente sobre las fuentes primarias: Claudio Ptolomeo, Vettius Valens, Julio Firmico Materno, Doroteo de Sidón y Rhetorius entre los astrólogos helenísticos; Abū Ma'shar, Māshā'allāh, Albubather y ʿAlī ibn Abī al-Rijāl (Haly Abenragel) entre los astrólogos árabes medievales; y Guido Bonatti, Johannes Engel, Jean-Baptiste Morin y William Lilly entre los grandes sistematizadores europeos.</w:t>
      </w:r>
    </w:p>
    <w:p>
      <w:pPr>
        <w:spacing w:after="200"/>
        <w:jc w:val="both"/>
      </w:pPr>
      <w:r>
        <w:rPr>
          <w:sz w:val="22"/>
          <w:szCs w:val="22"/>
        </w:rPr>
        <w:t xml:space="preserve">Lo que hace a este curso excepcionalmente completo no es solo la amplitud de sus fuentes, sino su arquitectura: 26 lecciones que recorren, sin saltos, el camino completo desde los fundamentos —las Moradas, los signos, los elementos— hasta el juicio natal íntegro y las técnicas de tiempo más sofisticadas de la tradición: Firdaria, Profecciones, Retorno Solar, Tránsitos, direcciones primarias (Atasyir) y los Lotes o kleroi. Pocos programas modernos integran estas técnicas de manera coherente; la mayoría las presenta de forma fragmentaria, o las omite por completo.</w:t>
      </w:r>
    </w:p>
    <w:p>
      <w:pPr>
        <w:spacing w:after="200"/>
        <w:jc w:val="both"/>
      </w:pPr>
      <w:r>
        <w:rPr>
          <w:sz w:val="22"/>
          <w:szCs w:val="22"/>
        </w:rPr>
        <w:t xml:space="preserve">Cada lección conserva el rigor de la fuente original mientras lo traduce en procedimiento aplicable: no se limita a explicar qué pensaban los antiguos, sino que enseña a usar ese conocimiento —con demostraciones, ejemplos trabajados y práctica dirigida— para emitir un juicio astrológico completo sobre cualquier carta natal: carácter, salud, longevidad, matrimonio, hijos, talento, posición social, profesión, fortuna y el propósito mismo de la consulta.</w:t>
      </w:r>
    </w:p>
    <w:p>
      <w:pPr>
        <w:spacing w:after="200"/>
        <w:jc w:val="both"/>
      </w:pPr>
      <w:r>
        <w:rPr>
          <w:sz w:val="22"/>
          <w:szCs w:val="22"/>
        </w:rPr>
        <w:t xml:space="preserve">En una época en la que buena parte de la astrología popular reduce el arte a generalidades de signo solar, este curso devuelve al estudiante el sistema completo tal como lo entendieron quienes lo desarrollaron: una disciplina exacta, verificable y profundamente humana.</w:t>
      </w:r>
    </w:p>
    <w:p>
      <w:pPr>
        <w:pageBreakBefore/>
      </w:pPr>
      <w:r>
        <w:br/>
        <w:t xml:space="preserve"/>
      </w:r>
    </w:p>
    <w:p>
      <w:pPr>
        <w:pStyle w:val="Heading1"/>
        <w:spacing w:after="240" w:before="0"/>
      </w:pPr>
      <w:r>
        <w:rPr>
          <w:color w:val="1C314A"/>
        </w:rPr>
        <w:t xml:space="preserve">Programa del curso</w:t>
      </w:r>
    </w:p>
    <w:p>
      <w:pPr>
        <w:spacing w:after="60" w:before="320"/>
      </w:pPr>
      <w:r>
        <w:rPr>
          <w:b/>
          <w:bCs/>
          <w:color w:val="1C314A"/>
          <w:sz w:val="26"/>
          <w:szCs w:val="26"/>
        </w:rPr>
        <w:t xml:space="preserve">Parte I — Fundamentos</w:t>
      </w:r>
    </w:p>
    <w:p>
      <w:pPr>
        <w:spacing w:after="140"/>
      </w:pPr>
      <w:r>
        <w:rPr>
          <w:i/>
          <w:iCs/>
          <w:color w:val="5C6770"/>
          <w:sz w:val="20"/>
          <w:szCs w:val="20"/>
        </w:rPr>
        <w:t xml:space="preserve">Lecciones 1–3</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w:t>
            </w:r>
          </w:p>
        </w:tc>
        <w:tc>
          <w:tcPr>
            <w:tcW w:type="dxa" w:w="8100"/>
            <w:tcMar>
              <w:top w:type="dxa" w:w="100"/>
              <w:left w:type="dxa" w:w="160"/>
              <w:bottom w:type="dxa" w:w="100"/>
              <w:right w:type="dxa" w:w="120"/>
            </w:tcMar>
          </w:tcPr>
          <w:p>
            <w:r>
              <w:t xml:space="preserve">Las Moradas y el marco celeste</w:t>
            </w:r>
          </w:p>
        </w:tc>
      </w:tr>
      <w:tr>
        <w:tc>
          <w:tcPr>
            <w:tcW w:type="dxa" w:w="900"/>
            <w:shd w:fill="EAF1F6" w:val="clear"/>
            <w:tcMar>
              <w:top w:type="dxa" w:w="100"/>
              <w:left w:type="dxa" w:w="120"/>
              <w:bottom w:type="dxa" w:w="100"/>
              <w:right w:type="dxa" w:w="120"/>
            </w:tcMar>
          </w:tcPr>
          <w:p>
            <w:pPr>
              <w:jc w:val="center"/>
            </w:pPr>
            <w:r>
              <w:rPr>
                <w:b/>
                <w:bCs/>
                <w:color w:val="2B5F82"/>
              </w:rPr>
              <w:t xml:space="preserve">2</w:t>
            </w:r>
          </w:p>
        </w:tc>
        <w:tc>
          <w:tcPr>
            <w:tcW w:type="dxa" w:w="8100"/>
            <w:tcMar>
              <w:top w:type="dxa" w:w="100"/>
              <w:left w:type="dxa" w:w="160"/>
              <w:bottom w:type="dxa" w:w="100"/>
              <w:right w:type="dxa" w:w="120"/>
            </w:tcMar>
          </w:tcPr>
          <w:p>
            <w:r>
              <w:t xml:space="preserve">Los signos, elementos y clasificaciones</w:t>
            </w:r>
          </w:p>
        </w:tc>
      </w:tr>
      <w:tr>
        <w:tc>
          <w:tcPr>
            <w:tcW w:type="dxa" w:w="900"/>
            <w:shd w:fill="EAF1F6" w:val="clear"/>
            <w:tcMar>
              <w:top w:type="dxa" w:w="100"/>
              <w:left w:type="dxa" w:w="120"/>
              <w:bottom w:type="dxa" w:w="100"/>
              <w:right w:type="dxa" w:w="120"/>
            </w:tcMar>
          </w:tcPr>
          <w:p>
            <w:pPr>
              <w:jc w:val="center"/>
            </w:pPr>
            <w:r>
              <w:rPr>
                <w:b/>
                <w:bCs/>
                <w:color w:val="2B5F82"/>
              </w:rPr>
              <w:t xml:space="preserve">3</w:t>
            </w:r>
          </w:p>
        </w:tc>
        <w:tc>
          <w:tcPr>
            <w:tcW w:type="dxa" w:w="8100"/>
            <w:tcMar>
              <w:top w:type="dxa" w:w="100"/>
              <w:left w:type="dxa" w:w="160"/>
              <w:bottom w:type="dxa" w:w="100"/>
              <w:right w:type="dxa" w:w="120"/>
            </w:tcMar>
          </w:tcPr>
          <w:p>
            <w:r>
              <w:t xml:space="preserve">Las Casas y la determinación local</w:t>
            </w:r>
          </w:p>
        </w:tc>
      </w:tr>
    </w:tbl>
    <w:p/>
    <w:p>
      <w:pPr>
        <w:spacing w:after="60" w:before="320"/>
      </w:pPr>
      <w:r>
        <w:rPr>
          <w:b/>
          <w:bCs/>
          <w:color w:val="1C314A"/>
          <w:sz w:val="26"/>
          <w:szCs w:val="26"/>
        </w:rPr>
        <w:t xml:space="preserve">Parte II — Los planetas y la carta</w:t>
      </w:r>
    </w:p>
    <w:p>
      <w:pPr>
        <w:spacing w:after="140"/>
      </w:pPr>
      <w:r>
        <w:rPr>
          <w:i/>
          <w:iCs/>
          <w:color w:val="5C6770"/>
          <w:sz w:val="20"/>
          <w:szCs w:val="20"/>
        </w:rPr>
        <w:t xml:space="preserve">Lecciones 4–10</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4</w:t>
            </w:r>
          </w:p>
        </w:tc>
        <w:tc>
          <w:tcPr>
            <w:tcW w:type="dxa" w:w="8100"/>
            <w:tcMar>
              <w:top w:type="dxa" w:w="100"/>
              <w:left w:type="dxa" w:w="160"/>
              <w:bottom w:type="dxa" w:w="100"/>
              <w:right w:type="dxa" w:w="120"/>
            </w:tcMar>
          </w:tcPr>
          <w:p>
            <w:r>
              <w:t xml:space="preserve">Los planetas como agentes</w:t>
            </w:r>
          </w:p>
        </w:tc>
      </w:tr>
      <w:tr>
        <w:tc>
          <w:tcPr>
            <w:tcW w:type="dxa" w:w="900"/>
            <w:shd w:fill="EAF1F6" w:val="clear"/>
            <w:tcMar>
              <w:top w:type="dxa" w:w="100"/>
              <w:left w:type="dxa" w:w="120"/>
              <w:bottom w:type="dxa" w:w="100"/>
              <w:right w:type="dxa" w:w="120"/>
            </w:tcMar>
          </w:tcPr>
          <w:p>
            <w:pPr>
              <w:jc w:val="center"/>
            </w:pPr>
            <w:r>
              <w:rPr>
                <w:b/>
                <w:bCs/>
                <w:color w:val="2B5F82"/>
              </w:rPr>
              <w:t xml:space="preserve">5</w:t>
            </w:r>
          </w:p>
        </w:tc>
        <w:tc>
          <w:tcPr>
            <w:tcW w:type="dxa" w:w="8100"/>
            <w:tcMar>
              <w:top w:type="dxa" w:w="100"/>
              <w:left w:type="dxa" w:w="160"/>
              <w:bottom w:type="dxa" w:w="100"/>
              <w:right w:type="dxa" w:w="120"/>
            </w:tcMar>
          </w:tcPr>
          <w:p>
            <w:r>
              <w:t xml:space="preserve">Significaciones planetarias aplicadas</w:t>
            </w:r>
          </w:p>
        </w:tc>
      </w:tr>
      <w:tr>
        <w:tc>
          <w:tcPr>
            <w:tcW w:type="dxa" w:w="900"/>
            <w:shd w:fill="EAF1F6" w:val="clear"/>
            <w:tcMar>
              <w:top w:type="dxa" w:w="100"/>
              <w:left w:type="dxa" w:w="120"/>
              <w:bottom w:type="dxa" w:w="100"/>
              <w:right w:type="dxa" w:w="120"/>
            </w:tcMar>
          </w:tcPr>
          <w:p>
            <w:pPr>
              <w:jc w:val="center"/>
            </w:pPr>
            <w:r>
              <w:rPr>
                <w:b/>
                <w:bCs/>
                <w:color w:val="2B5F82"/>
              </w:rPr>
              <w:t xml:space="preserve">6</w:t>
            </w:r>
          </w:p>
        </w:tc>
        <w:tc>
          <w:tcPr>
            <w:tcW w:type="dxa" w:w="8100"/>
            <w:tcMar>
              <w:top w:type="dxa" w:w="100"/>
              <w:left w:type="dxa" w:w="160"/>
              <w:bottom w:type="dxa" w:w="100"/>
              <w:right w:type="dxa" w:w="120"/>
            </w:tcMar>
          </w:tcPr>
          <w:p>
            <w:r>
              <w:t xml:space="preserve">La Luna</w:t>
            </w:r>
          </w:p>
        </w:tc>
      </w:tr>
      <w:tr>
        <w:tc>
          <w:tcPr>
            <w:tcW w:type="dxa" w:w="900"/>
            <w:shd w:fill="EAF1F6" w:val="clear"/>
            <w:tcMar>
              <w:top w:type="dxa" w:w="100"/>
              <w:left w:type="dxa" w:w="120"/>
              <w:bottom w:type="dxa" w:w="100"/>
              <w:right w:type="dxa" w:w="120"/>
            </w:tcMar>
          </w:tcPr>
          <w:p>
            <w:pPr>
              <w:jc w:val="center"/>
            </w:pPr>
            <w:r>
              <w:rPr>
                <w:b/>
                <w:bCs/>
                <w:color w:val="2B5F82"/>
              </w:rPr>
              <w:t xml:space="preserve">7</w:t>
            </w:r>
          </w:p>
        </w:tc>
        <w:tc>
          <w:tcPr>
            <w:tcW w:type="dxa" w:w="8100"/>
            <w:tcMar>
              <w:top w:type="dxa" w:w="100"/>
              <w:left w:type="dxa" w:w="160"/>
              <w:bottom w:type="dxa" w:w="100"/>
              <w:right w:type="dxa" w:w="120"/>
            </w:tcMar>
          </w:tcPr>
          <w:p>
            <w:r>
              <w:t xml:space="preserve">Los signos en los cuatro ángulos</w:t>
            </w:r>
          </w:p>
        </w:tc>
      </w:tr>
      <w:tr>
        <w:tc>
          <w:tcPr>
            <w:tcW w:type="dxa" w:w="900"/>
            <w:shd w:fill="EAF1F6" w:val="clear"/>
            <w:tcMar>
              <w:top w:type="dxa" w:w="100"/>
              <w:left w:type="dxa" w:w="120"/>
              <w:bottom w:type="dxa" w:w="100"/>
              <w:right w:type="dxa" w:w="120"/>
            </w:tcMar>
          </w:tcPr>
          <w:p>
            <w:pPr>
              <w:jc w:val="center"/>
            </w:pPr>
            <w:r>
              <w:rPr>
                <w:b/>
                <w:bCs/>
                <w:color w:val="2B5F82"/>
              </w:rPr>
              <w:t xml:space="preserve">8</w:t>
            </w:r>
          </w:p>
        </w:tc>
        <w:tc>
          <w:tcPr>
            <w:tcW w:type="dxa" w:w="8100"/>
            <w:tcMar>
              <w:top w:type="dxa" w:w="100"/>
              <w:left w:type="dxa" w:w="160"/>
              <w:bottom w:type="dxa" w:w="100"/>
              <w:right w:type="dxa" w:w="120"/>
            </w:tcMar>
          </w:tcPr>
          <w:p>
            <w:r>
              <w:t xml:space="preserve">Subdivisiones, dignidades y recepciones</w:t>
            </w:r>
          </w:p>
        </w:tc>
      </w:tr>
      <w:tr>
        <w:tc>
          <w:tcPr>
            <w:tcW w:type="dxa" w:w="900"/>
            <w:shd w:fill="EAF1F6" w:val="clear"/>
            <w:tcMar>
              <w:top w:type="dxa" w:w="100"/>
              <w:left w:type="dxa" w:w="120"/>
              <w:bottom w:type="dxa" w:w="100"/>
              <w:right w:type="dxa" w:w="120"/>
            </w:tcMar>
          </w:tcPr>
          <w:p>
            <w:pPr>
              <w:jc w:val="center"/>
            </w:pPr>
            <w:r>
              <w:rPr>
                <w:b/>
                <w:bCs/>
                <w:color w:val="2B5F82"/>
              </w:rPr>
              <w:t xml:space="preserve">9</w:t>
            </w:r>
          </w:p>
        </w:tc>
        <w:tc>
          <w:tcPr>
            <w:tcW w:type="dxa" w:w="8100"/>
            <w:tcMar>
              <w:top w:type="dxa" w:w="100"/>
              <w:left w:type="dxa" w:w="160"/>
              <w:bottom w:type="dxa" w:w="100"/>
              <w:right w:type="dxa" w:w="120"/>
            </w:tcMar>
          </w:tcPr>
          <w:p>
            <w:r>
              <w:t xml:space="preserve">Delineación I: promesa, significadores y orden del juicio</w:t>
            </w:r>
          </w:p>
        </w:tc>
      </w:tr>
      <w:tr>
        <w:tc>
          <w:tcPr>
            <w:tcW w:type="dxa" w:w="900"/>
            <w:shd w:fill="EAF1F6" w:val="clear"/>
            <w:tcMar>
              <w:top w:type="dxa" w:w="100"/>
              <w:left w:type="dxa" w:w="120"/>
              <w:bottom w:type="dxa" w:w="100"/>
              <w:right w:type="dxa" w:w="120"/>
            </w:tcMar>
          </w:tcPr>
          <w:p>
            <w:pPr>
              <w:jc w:val="center"/>
            </w:pPr>
            <w:r>
              <w:rPr>
                <w:b/>
                <w:bCs/>
                <w:color w:val="2B5F82"/>
              </w:rPr>
              <w:t xml:space="preserve">10</w:t>
            </w:r>
          </w:p>
        </w:tc>
        <w:tc>
          <w:tcPr>
            <w:tcW w:type="dxa" w:w="8100"/>
            <w:tcMar>
              <w:top w:type="dxa" w:w="100"/>
              <w:left w:type="dxa" w:w="160"/>
              <w:bottom w:type="dxa" w:w="100"/>
              <w:right w:type="dxa" w:w="120"/>
            </w:tcMar>
          </w:tcPr>
          <w:p>
            <w:r>
              <w:t xml:space="preserve">Cuerpo, temperamento, carácter y facultades</w:t>
            </w:r>
          </w:p>
        </w:tc>
      </w:tr>
    </w:tbl>
    <w:p/>
    <w:p>
      <w:pPr>
        <w:spacing w:after="60" w:before="320"/>
      </w:pPr>
      <w:r>
        <w:rPr>
          <w:b/>
          <w:bCs/>
          <w:color w:val="1C314A"/>
          <w:sz w:val="26"/>
          <w:szCs w:val="26"/>
        </w:rPr>
        <w:t xml:space="preserve">Parte III — Técnicas avanzadas de diagnóstico</w:t>
      </w:r>
    </w:p>
    <w:p>
      <w:pPr>
        <w:spacing w:after="140"/>
      </w:pPr>
      <w:r>
        <w:rPr>
          <w:i/>
          <w:iCs/>
          <w:color w:val="5C6770"/>
          <w:sz w:val="20"/>
          <w:szCs w:val="20"/>
        </w:rPr>
        <w:t xml:space="preserve">Lecciones 11–14</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11</w:t>
            </w:r>
          </w:p>
        </w:tc>
        <w:tc>
          <w:tcPr>
            <w:tcW w:type="dxa" w:w="8100"/>
            <w:tcMar>
              <w:top w:type="dxa" w:w="100"/>
              <w:left w:type="dxa" w:w="160"/>
              <w:bottom w:type="dxa" w:w="100"/>
              <w:right w:type="dxa" w:w="120"/>
            </w:tcMar>
          </w:tcPr>
          <w:p>
            <w:r>
              <w:t xml:space="preserve">Duodenarias o dodekatemoria</w:t>
            </w:r>
          </w:p>
        </w:tc>
      </w:tr>
      <w:tr>
        <w:tc>
          <w:tcPr>
            <w:tcW w:type="dxa" w:w="900"/>
            <w:shd w:fill="EAF1F6" w:val="clear"/>
            <w:tcMar>
              <w:top w:type="dxa" w:w="100"/>
              <w:left w:type="dxa" w:w="120"/>
              <w:bottom w:type="dxa" w:w="100"/>
              <w:right w:type="dxa" w:w="120"/>
            </w:tcMar>
          </w:tcPr>
          <w:p>
            <w:pPr>
              <w:jc w:val="center"/>
            </w:pPr>
            <w:r>
              <w:rPr>
                <w:b/>
                <w:bCs/>
                <w:color w:val="2B5F82"/>
              </w:rPr>
              <w:t xml:space="preserve">12</w:t>
            </w:r>
          </w:p>
        </w:tc>
        <w:tc>
          <w:tcPr>
            <w:tcW w:type="dxa" w:w="8100"/>
            <w:tcMar>
              <w:top w:type="dxa" w:w="100"/>
              <w:left w:type="dxa" w:w="160"/>
              <w:bottom w:type="dxa" w:w="100"/>
              <w:right w:type="dxa" w:w="120"/>
            </w:tcMar>
          </w:tcPr>
          <w:p>
            <w:r>
              <w:t xml:space="preserve">Longevidad: doctrina histórica y límites de uso</w:t>
            </w:r>
          </w:p>
        </w:tc>
      </w:tr>
      <w:tr>
        <w:tc>
          <w:tcPr>
            <w:tcW w:type="dxa" w:w="900"/>
            <w:shd w:fill="EAF1F6" w:val="clear"/>
            <w:tcMar>
              <w:top w:type="dxa" w:w="100"/>
              <w:left w:type="dxa" w:w="120"/>
              <w:bottom w:type="dxa" w:w="100"/>
              <w:right w:type="dxa" w:w="120"/>
            </w:tcMar>
          </w:tcPr>
          <w:p>
            <w:pPr>
              <w:jc w:val="center"/>
            </w:pPr>
            <w:r>
              <w:rPr>
                <w:b/>
                <w:bCs/>
                <w:color w:val="2B5F82"/>
              </w:rPr>
              <w:t xml:space="preserve">13</w:t>
            </w:r>
          </w:p>
        </w:tc>
        <w:tc>
          <w:tcPr>
            <w:tcW w:type="dxa" w:w="8100"/>
            <w:tcMar>
              <w:top w:type="dxa" w:w="100"/>
              <w:left w:type="dxa" w:w="160"/>
              <w:bottom w:type="dxa" w:w="100"/>
              <w:right w:type="dxa" w:w="120"/>
            </w:tcMar>
          </w:tcPr>
          <w:p>
            <w:r>
              <w:t xml:space="preserve">Almuten Figuris y autoridad predominante</w:t>
            </w:r>
          </w:p>
        </w:tc>
      </w:tr>
      <w:tr>
        <w:tc>
          <w:tcPr>
            <w:tcW w:type="dxa" w:w="900"/>
            <w:shd w:fill="EAF1F6" w:val="clear"/>
            <w:tcMar>
              <w:top w:type="dxa" w:w="100"/>
              <w:left w:type="dxa" w:w="120"/>
              <w:bottom w:type="dxa" w:w="100"/>
              <w:right w:type="dxa" w:w="120"/>
            </w:tcMar>
          </w:tcPr>
          <w:p>
            <w:pPr>
              <w:jc w:val="center"/>
            </w:pPr>
            <w:r>
              <w:rPr>
                <w:b/>
                <w:bCs/>
                <w:color w:val="2B5F82"/>
              </w:rPr>
              <w:t xml:space="preserve">14</w:t>
            </w:r>
          </w:p>
        </w:tc>
        <w:tc>
          <w:tcPr>
            <w:tcW w:type="dxa" w:w="8100"/>
            <w:tcMar>
              <w:top w:type="dxa" w:w="100"/>
              <w:left w:type="dxa" w:w="160"/>
              <w:bottom w:type="dxa" w:w="100"/>
              <w:right w:type="dxa" w:w="120"/>
            </w:tcMar>
          </w:tcPr>
          <w:p>
            <w:r>
              <w:t xml:space="preserve">Los Lotes o kleroi</w:t>
            </w:r>
          </w:p>
        </w:tc>
      </w:tr>
    </w:tbl>
    <w:p/>
    <w:p>
      <w:pPr>
        <w:spacing w:after="60" w:before="320"/>
      </w:pPr>
      <w:r>
        <w:rPr>
          <w:b/>
          <w:bCs/>
          <w:color w:val="1C314A"/>
          <w:sz w:val="26"/>
          <w:szCs w:val="26"/>
        </w:rPr>
        <w:t xml:space="preserve">Parte IV — Técnicas de tiempo</w:t>
      </w:r>
    </w:p>
    <w:p>
      <w:pPr>
        <w:spacing w:after="140"/>
      </w:pPr>
      <w:r>
        <w:rPr>
          <w:i/>
          <w:iCs/>
          <w:color w:val="5C6770"/>
          <w:sz w:val="20"/>
          <w:szCs w:val="20"/>
        </w:rPr>
        <w:t xml:space="preserve">Lecciones 15–19</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15</w:t>
            </w:r>
          </w:p>
        </w:tc>
        <w:tc>
          <w:tcPr>
            <w:tcW w:type="dxa" w:w="8100"/>
            <w:tcMar>
              <w:top w:type="dxa" w:w="100"/>
              <w:left w:type="dxa" w:w="160"/>
              <w:bottom w:type="dxa" w:w="100"/>
              <w:right w:type="dxa" w:w="120"/>
            </w:tcMar>
          </w:tcPr>
          <w:p>
            <w:r>
              <w:t xml:space="preserve">Firdaria</w:t>
            </w:r>
          </w:p>
        </w:tc>
      </w:tr>
      <w:tr>
        <w:tc>
          <w:tcPr>
            <w:tcW w:type="dxa" w:w="900"/>
            <w:shd w:fill="EAF1F6" w:val="clear"/>
            <w:tcMar>
              <w:top w:type="dxa" w:w="100"/>
              <w:left w:type="dxa" w:w="120"/>
              <w:bottom w:type="dxa" w:w="100"/>
              <w:right w:type="dxa" w:w="120"/>
            </w:tcMar>
          </w:tcPr>
          <w:p>
            <w:pPr>
              <w:jc w:val="center"/>
            </w:pPr>
            <w:r>
              <w:rPr>
                <w:b/>
                <w:bCs/>
                <w:color w:val="2B5F82"/>
              </w:rPr>
              <w:t xml:space="preserve">16</w:t>
            </w:r>
          </w:p>
        </w:tc>
        <w:tc>
          <w:tcPr>
            <w:tcW w:type="dxa" w:w="8100"/>
            <w:tcMar>
              <w:top w:type="dxa" w:w="100"/>
              <w:left w:type="dxa" w:w="160"/>
              <w:bottom w:type="dxa" w:w="100"/>
              <w:right w:type="dxa" w:w="120"/>
            </w:tcMar>
          </w:tcPr>
          <w:p>
            <w:r>
              <w:t xml:space="preserve">Profecciones</w:t>
            </w:r>
          </w:p>
        </w:tc>
      </w:tr>
      <w:tr>
        <w:tc>
          <w:tcPr>
            <w:tcW w:type="dxa" w:w="900"/>
            <w:shd w:fill="EAF1F6" w:val="clear"/>
            <w:tcMar>
              <w:top w:type="dxa" w:w="100"/>
              <w:left w:type="dxa" w:w="120"/>
              <w:bottom w:type="dxa" w:w="100"/>
              <w:right w:type="dxa" w:w="120"/>
            </w:tcMar>
          </w:tcPr>
          <w:p>
            <w:pPr>
              <w:jc w:val="center"/>
            </w:pPr>
            <w:r>
              <w:rPr>
                <w:b/>
                <w:bCs/>
                <w:color w:val="2B5F82"/>
              </w:rPr>
              <w:t xml:space="preserve">17</w:t>
            </w:r>
          </w:p>
        </w:tc>
        <w:tc>
          <w:tcPr>
            <w:tcW w:type="dxa" w:w="8100"/>
            <w:tcMar>
              <w:top w:type="dxa" w:w="100"/>
              <w:left w:type="dxa" w:w="160"/>
              <w:bottom w:type="dxa" w:w="100"/>
              <w:right w:type="dxa" w:w="120"/>
            </w:tcMar>
          </w:tcPr>
          <w:p>
            <w:r>
              <w:t xml:space="preserve">Retorno solar</w:t>
            </w:r>
          </w:p>
        </w:tc>
      </w:tr>
      <w:tr>
        <w:tc>
          <w:tcPr>
            <w:tcW w:type="dxa" w:w="900"/>
            <w:shd w:fill="EAF1F6" w:val="clear"/>
            <w:tcMar>
              <w:top w:type="dxa" w:w="100"/>
              <w:left w:type="dxa" w:w="120"/>
              <w:bottom w:type="dxa" w:w="100"/>
              <w:right w:type="dxa" w:w="120"/>
            </w:tcMar>
          </w:tcPr>
          <w:p>
            <w:pPr>
              <w:jc w:val="center"/>
            </w:pPr>
            <w:r>
              <w:rPr>
                <w:b/>
                <w:bCs/>
                <w:color w:val="2B5F82"/>
              </w:rPr>
              <w:t xml:space="preserve">18</w:t>
            </w:r>
          </w:p>
        </w:tc>
        <w:tc>
          <w:tcPr>
            <w:tcW w:type="dxa" w:w="8100"/>
            <w:tcMar>
              <w:top w:type="dxa" w:w="100"/>
              <w:left w:type="dxa" w:w="160"/>
              <w:bottom w:type="dxa" w:w="100"/>
              <w:right w:type="dxa" w:w="120"/>
            </w:tcMar>
          </w:tcPr>
          <w:p>
            <w:r>
              <w:t xml:space="preserve">Tránsitos</w:t>
            </w:r>
          </w:p>
        </w:tc>
      </w:tr>
      <w:tr>
        <w:tc>
          <w:tcPr>
            <w:tcW w:type="dxa" w:w="900"/>
            <w:shd w:fill="EAF1F6" w:val="clear"/>
            <w:tcMar>
              <w:top w:type="dxa" w:w="100"/>
              <w:left w:type="dxa" w:w="120"/>
              <w:bottom w:type="dxa" w:w="100"/>
              <w:right w:type="dxa" w:w="120"/>
            </w:tcMar>
          </w:tcPr>
          <w:p>
            <w:pPr>
              <w:jc w:val="center"/>
            </w:pPr>
            <w:r>
              <w:rPr>
                <w:b/>
                <w:bCs/>
                <w:color w:val="2B5F82"/>
              </w:rPr>
              <w:t xml:space="preserve">19</w:t>
            </w:r>
          </w:p>
        </w:tc>
        <w:tc>
          <w:tcPr>
            <w:tcW w:type="dxa" w:w="8100"/>
            <w:tcMar>
              <w:top w:type="dxa" w:w="100"/>
              <w:left w:type="dxa" w:w="160"/>
              <w:bottom w:type="dxa" w:w="100"/>
              <w:right w:type="dxa" w:w="120"/>
            </w:tcMar>
          </w:tcPr>
          <w:p>
            <w:r>
              <w:t xml:space="preserve">Atasyir, direcciones y progresiones</w:t>
            </w:r>
          </w:p>
        </w:tc>
      </w:tr>
    </w:tbl>
    <w:p/>
    <w:p>
      <w:pPr>
        <w:spacing w:after="60" w:before="320"/>
      </w:pPr>
      <w:r>
        <w:rPr>
          <w:b/>
          <w:bCs/>
          <w:color w:val="1C314A"/>
          <w:sz w:val="26"/>
          <w:szCs w:val="26"/>
        </w:rPr>
        <w:t xml:space="preserve">Parte V — Juicio aplicado</w:t>
      </w:r>
    </w:p>
    <w:p>
      <w:pPr>
        <w:spacing w:after="140"/>
      </w:pPr>
      <w:r>
        <w:rPr>
          <w:i/>
          <w:iCs/>
          <w:color w:val="5C6770"/>
          <w:sz w:val="20"/>
          <w:szCs w:val="20"/>
        </w:rPr>
        <w:t xml:space="preserve">Lecciones 20–26</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20</w:t>
            </w:r>
          </w:p>
        </w:tc>
        <w:tc>
          <w:tcPr>
            <w:tcW w:type="dxa" w:w="8100"/>
            <w:tcMar>
              <w:top w:type="dxa" w:w="100"/>
              <w:left w:type="dxa" w:w="160"/>
              <w:bottom w:type="dxa" w:w="100"/>
              <w:right w:type="dxa" w:w="120"/>
            </w:tcMar>
          </w:tcPr>
          <w:p>
            <w:r>
              <w:t xml:space="preserve">Matrimonio y alianzas</w:t>
            </w:r>
          </w:p>
        </w:tc>
      </w:tr>
      <w:tr>
        <w:tc>
          <w:tcPr>
            <w:tcW w:type="dxa" w:w="900"/>
            <w:shd w:fill="EAF1F6" w:val="clear"/>
            <w:tcMar>
              <w:top w:type="dxa" w:w="100"/>
              <w:left w:type="dxa" w:w="120"/>
              <w:bottom w:type="dxa" w:w="100"/>
              <w:right w:type="dxa" w:w="120"/>
            </w:tcMar>
          </w:tcPr>
          <w:p>
            <w:pPr>
              <w:jc w:val="center"/>
            </w:pPr>
            <w:r>
              <w:rPr>
                <w:b/>
                <w:bCs/>
                <w:color w:val="2B5F82"/>
              </w:rPr>
              <w:t xml:space="preserve">21</w:t>
            </w:r>
          </w:p>
        </w:tc>
        <w:tc>
          <w:tcPr>
            <w:tcW w:type="dxa" w:w="8100"/>
            <w:tcMar>
              <w:top w:type="dxa" w:w="100"/>
              <w:left w:type="dxa" w:w="160"/>
              <w:bottom w:type="dxa" w:w="100"/>
              <w:right w:type="dxa" w:w="120"/>
            </w:tcMar>
          </w:tcPr>
          <w:p>
            <w:r>
              <w:t xml:space="preserve">Hijos y fertilidad</w:t>
            </w:r>
          </w:p>
        </w:tc>
      </w:tr>
      <w:tr>
        <w:tc>
          <w:tcPr>
            <w:tcW w:type="dxa" w:w="900"/>
            <w:shd w:fill="EAF1F6" w:val="clear"/>
            <w:tcMar>
              <w:top w:type="dxa" w:w="100"/>
              <w:left w:type="dxa" w:w="120"/>
              <w:bottom w:type="dxa" w:w="100"/>
              <w:right w:type="dxa" w:w="120"/>
            </w:tcMar>
          </w:tcPr>
          <w:p>
            <w:pPr>
              <w:jc w:val="center"/>
            </w:pPr>
            <w:r>
              <w:rPr>
                <w:b/>
                <w:bCs/>
                <w:color w:val="2B5F82"/>
              </w:rPr>
              <w:t xml:space="preserve">22</w:t>
            </w:r>
          </w:p>
        </w:tc>
        <w:tc>
          <w:tcPr>
            <w:tcW w:type="dxa" w:w="8100"/>
            <w:tcMar>
              <w:top w:type="dxa" w:w="100"/>
              <w:left w:type="dxa" w:w="160"/>
              <w:bottom w:type="dxa" w:w="100"/>
              <w:right w:type="dxa" w:w="120"/>
            </w:tcMar>
          </w:tcPr>
          <w:p>
            <w:r>
              <w:t xml:space="preserve">Talento, ingenio y aprendizaje</w:t>
            </w:r>
          </w:p>
        </w:tc>
      </w:tr>
      <w:tr>
        <w:tc>
          <w:tcPr>
            <w:tcW w:type="dxa" w:w="900"/>
            <w:shd w:fill="EAF1F6" w:val="clear"/>
            <w:tcMar>
              <w:top w:type="dxa" w:w="100"/>
              <w:left w:type="dxa" w:w="120"/>
              <w:bottom w:type="dxa" w:w="100"/>
              <w:right w:type="dxa" w:w="120"/>
            </w:tcMar>
          </w:tcPr>
          <w:p>
            <w:pPr>
              <w:jc w:val="center"/>
            </w:pPr>
            <w:r>
              <w:rPr>
                <w:b/>
                <w:bCs/>
                <w:color w:val="2B5F82"/>
              </w:rPr>
              <w:t xml:space="preserve">23</w:t>
            </w:r>
          </w:p>
        </w:tc>
        <w:tc>
          <w:tcPr>
            <w:tcW w:type="dxa" w:w="8100"/>
            <w:tcMar>
              <w:top w:type="dxa" w:w="100"/>
              <w:left w:type="dxa" w:w="160"/>
              <w:bottom w:type="dxa" w:w="100"/>
              <w:right w:type="dxa" w:w="120"/>
            </w:tcMar>
          </w:tcPr>
          <w:p>
            <w:r>
              <w:t xml:space="preserve">Rango, autoridad y fama</w:t>
            </w:r>
          </w:p>
        </w:tc>
      </w:tr>
      <w:tr>
        <w:tc>
          <w:tcPr>
            <w:tcW w:type="dxa" w:w="900"/>
            <w:shd w:fill="EAF1F6" w:val="clear"/>
            <w:tcMar>
              <w:top w:type="dxa" w:w="100"/>
              <w:left w:type="dxa" w:w="120"/>
              <w:bottom w:type="dxa" w:w="100"/>
              <w:right w:type="dxa" w:w="120"/>
            </w:tcMar>
          </w:tcPr>
          <w:p>
            <w:pPr>
              <w:jc w:val="center"/>
            </w:pPr>
            <w:r>
              <w:rPr>
                <w:b/>
                <w:bCs/>
                <w:color w:val="2B5F82"/>
              </w:rPr>
              <w:t xml:space="preserve">24</w:t>
            </w:r>
          </w:p>
        </w:tc>
        <w:tc>
          <w:tcPr>
            <w:tcW w:type="dxa" w:w="8100"/>
            <w:tcMar>
              <w:top w:type="dxa" w:w="100"/>
              <w:left w:type="dxa" w:w="160"/>
              <w:bottom w:type="dxa" w:w="100"/>
              <w:right w:type="dxa" w:w="120"/>
            </w:tcMar>
          </w:tcPr>
          <w:p>
            <w:r>
              <w:t xml:space="preserve">Profesión y oficio</w:t>
            </w:r>
          </w:p>
        </w:tc>
      </w:tr>
      <w:tr>
        <w:tc>
          <w:tcPr>
            <w:tcW w:type="dxa" w:w="900"/>
            <w:shd w:fill="EAF1F6" w:val="clear"/>
            <w:tcMar>
              <w:top w:type="dxa" w:w="100"/>
              <w:left w:type="dxa" w:w="120"/>
              <w:bottom w:type="dxa" w:w="100"/>
              <w:right w:type="dxa" w:w="120"/>
            </w:tcMar>
          </w:tcPr>
          <w:p>
            <w:pPr>
              <w:jc w:val="center"/>
            </w:pPr>
            <w:r>
              <w:rPr>
                <w:b/>
                <w:bCs/>
                <w:color w:val="2B5F82"/>
              </w:rPr>
              <w:t xml:space="preserve">25</w:t>
            </w:r>
          </w:p>
        </w:tc>
        <w:tc>
          <w:tcPr>
            <w:tcW w:type="dxa" w:w="8100"/>
            <w:tcMar>
              <w:top w:type="dxa" w:w="100"/>
              <w:left w:type="dxa" w:w="160"/>
              <w:bottom w:type="dxa" w:w="100"/>
              <w:right w:type="dxa" w:w="120"/>
            </w:tcMar>
          </w:tcPr>
          <w:p>
            <w:r>
              <w:t xml:space="preserve">Fortuna, recursos y prosperidad</w:t>
            </w:r>
          </w:p>
        </w:tc>
      </w:tr>
      <w:tr>
        <w:tc>
          <w:tcPr>
            <w:tcW w:type="dxa" w:w="900"/>
            <w:shd w:fill="EAF1F6" w:val="clear"/>
            <w:tcMar>
              <w:top w:type="dxa" w:w="100"/>
              <w:left w:type="dxa" w:w="120"/>
              <w:bottom w:type="dxa" w:w="100"/>
              <w:right w:type="dxa" w:w="120"/>
            </w:tcMar>
          </w:tcPr>
          <w:p>
            <w:pPr>
              <w:jc w:val="center"/>
            </w:pPr>
            <w:r>
              <w:rPr>
                <w:b/>
                <w:bCs/>
                <w:color w:val="2B5F82"/>
              </w:rPr>
              <w:t xml:space="preserve">26</w:t>
            </w:r>
          </w:p>
        </w:tc>
        <w:tc>
          <w:tcPr>
            <w:tcW w:type="dxa" w:w="8100"/>
            <w:tcMar>
              <w:top w:type="dxa" w:w="100"/>
              <w:left w:type="dxa" w:w="160"/>
              <w:bottom w:type="dxa" w:w="100"/>
              <w:right w:type="dxa" w:w="120"/>
            </w:tcMar>
          </w:tcPr>
          <w:p>
            <w:r>
              <w:t xml:space="preserve">Cognición y propósito de la consulta</w:t>
            </w:r>
          </w:p>
        </w:tc>
      </w:tr>
    </w:tbl>
    <w:p/>
    <w:sectPr>
      <w:headerReference w:type="default" r:id="rId7"/>
      <w:footerReference w:type="default" r:id="rId8"/>
      <w:pgSz w:w="12240" w:h="15840" w:orient="portrait"/>
      <w:pgMar w:top="1008" w:right="1123" w:bottom="1008" w:left="112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C6770"/>
        <w:sz w:val="18"/>
        <w:szCs w:val="18"/>
      </w:rPr>
      <w:t xml:space="preserve">Página </w:t>
    </w:r>
    <w:r>
      <w:rPr>
        <w:color w:val="5C67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4DC" w:sz="4"/>
      </w:pBdr>
      <w:jc w:val="right"/>
    </w:pPr>
    <w:r>
      <w:rPr>
        <w:color w:val="5C6770"/>
        <w:sz w:val="16"/>
        <w:szCs w:val="16"/>
      </w:rPr>
      <w:t xml:space="preserve">AETA · Curso Completo de Astrología Tradicional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2026-09-09T12:36:03.374Z</dcterms:created>
  <dcterms:modified xsi:type="dcterms:W3CDTF">2026-09-09T12:36:03.387Z</dcterms:modified>
</cp:coreProperties>
</file>

<file path=docProps/custom.xml><?xml version="1.0" encoding="utf-8"?>
<Properties xmlns="http://schemas.openxmlformats.org/officeDocument/2006/custom-properties" xmlns:vt="http://schemas.openxmlformats.org/officeDocument/2006/docPropsVTypes"/>
</file>