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600"/>
        <w:jc w:val="center"/>
      </w:pPr>
      <w:r>
        <w:rPr>
          <w:b/>
          <w:bCs/>
          <w:color w:val="1C314A"/>
          <w:sz w:val="40"/>
          <w:szCs w:val="40"/>
        </w:rPr>
        <w:t xml:space="preserve">COMPLETE MUNDANE ASTROLOGY COURSE</w:t>
      </w:r>
    </w:p>
    <w:p>
      <w:pPr>
        <w:spacing w:after="200"/>
        <w:jc w:val="center"/>
      </w:pPr>
      <w:r>
        <w:rPr>
          <w:b/>
          <w:bCs/>
          <w:color w:val="2B5F82"/>
          <w:sz w:val="28"/>
          <w:szCs w:val="28"/>
        </w:rPr>
        <w:t xml:space="preserve">Course Syllabus</w:t>
      </w:r>
    </w:p>
    <w:p>
      <w:pPr>
        <w:spacing w:after="500"/>
        <w:jc w:val="center"/>
      </w:pPr>
      <w:r>
        <w:rPr>
          <w:color w:val="5C6770"/>
          <w:sz w:val="20"/>
          <w:szCs w:val="20"/>
        </w:rPr>
        <w:t xml:space="preserve">English edition · 40 lessons · source-enriched</w:t>
      </w:r>
    </w:p>
    <w:p>
      <w:pPr>
        <w:pStyle w:val="Heading1"/>
        <w:spacing w:after="200" w:before="200"/>
      </w:pPr>
      <w:r>
        <w:rPr>
          <w:color w:val="1C314A"/>
        </w:rPr>
        <w:t xml:space="preserve">Why true astrologers turn to mundane astrology</w:t>
      </w:r>
    </w:p>
    <w:p>
      <w:pPr>
        <w:spacing w:after="200"/>
        <w:jc w:val="both"/>
      </w:pPr>
      <w:r>
        <w:rPr>
          <w:sz w:val="22"/>
          <w:szCs w:val="22"/>
        </w:rPr>
        <w:t xml:space="preserve">Natal astrology answers for one life. Mundane astrology answers for everyone at once — the fate of a city, a government, an army, a harvest, a plague. It is the branch the ancients reserved for what a king needed to know before he could not afford to be wrong: whether this year brings war or peace, plenty or famine, a stable throne or a contested one.</w:t>
      </w:r>
    </w:p>
    <w:p>
      <w:pPr>
        <w:spacing w:after="200"/>
        <w:jc w:val="both"/>
      </w:pPr>
      <w:r>
        <w:rPr>
          <w:sz w:val="22"/>
          <w:szCs w:val="22"/>
        </w:rPr>
        <w:t xml:space="preserve">The tradition takes this seriously because the sources take it seriously. Claudius Ptolemy devoted the second book of the Tetrabiblos to it before he ever reached the individual nativity, because in the Hellenistic scheme the fate of nations logically precedes the fate of persons: you cannot judge a life without first judging the age it is lived in. Abū Ma'shar built an entire doctrine of history on it — the great conjunctions of Saturn and Jupiter, read across centuries, that mark the rise and fall of dynasties, the appearance of prophets, and the turning of empires. Māshā'allāh used the same instruments — ingresses, conjunctions, eclipses — to advise on the fortunes of rulers and states in his own century. ʿAlī ibn Abī al-Rijāl, in Book VIII of his great compendium, set out, chapter by chapter, how the same figure that governs a life also governs a king, a people, a war, a market, a harvest. William Ramesey gathered and systematized this entire art in English in 1653, in Astrologia Munda, so that a serious student would no longer need to reconstruct mundane doctrine from fragments scattered across a dozen sources.</w:t>
      </w:r>
    </w:p>
    <w:p>
      <w:pPr>
        <w:spacing w:after="200"/>
        <w:jc w:val="both"/>
      </w:pPr>
      <w:r>
        <w:rPr>
          <w:sz w:val="22"/>
          <w:szCs w:val="22"/>
        </w:rPr>
        <w:t xml:space="preserve">This is why mundane astrology has never been a curiosity for the tradition's major authors — it is where the art was first proven, in public, against outcomes that entire populations lived through: a siege, a coronation, a famine, a plague. A natal chart's judgement can be quietly wrong for years before anyone notices. A mundane judgement about whether the king survives the year, or the harvest fails, or the war is won, is tested immediately and by everyone.</w:t>
      </w:r>
    </w:p>
    <w:p>
      <w:pPr>
        <w:spacing w:after="200"/>
        <w:jc w:val="both"/>
      </w:pPr>
      <w:r>
        <w:rPr>
          <w:sz w:val="22"/>
          <w:szCs w:val="22"/>
        </w:rPr>
        <w:t xml:space="preserve">This course follows that same standard. It does not treat nations and kings as a larger version of a person's nativity — it teaches the figure of the year, the Lord of the Year, the great conjunctions, the eclipses, and the specific delineations the sources give for kings, peoples, war, plague, prices, and weather, exactly as Ptolemy, Abū Ma'shar, Māshā'allāh, ʿAlī ibn Abī al-Rijāl and Ramesey handed them down — so that a claim about a city, a state, or a country can be made the way the ancients made it: openly, on the record, and answerable to what actually happens.</w:t>
      </w:r>
    </w:p>
    <w:p>
      <w:pPr>
        <w:pageBreakBefore/>
      </w:pPr>
      <w:r>
        <w:br/>
        <w:t xml:space="preserve"/>
      </w:r>
    </w:p>
    <w:p>
      <w:pPr>
        <w:pStyle w:val="Heading1"/>
        <w:spacing w:after="240" w:before="0"/>
      </w:pPr>
      <w:r>
        <w:rPr>
          <w:color w:val="1C314A"/>
        </w:rPr>
        <w:t xml:space="preserve">Course Syllabus</w:t>
      </w:r>
    </w:p>
    <w:p>
      <w:pPr>
        <w:spacing w:after="60" w:before="320"/>
      </w:pPr>
      <w:r>
        <w:rPr>
          <w:b/>
          <w:bCs/>
          <w:color w:val="1C314A"/>
          <w:sz w:val="26"/>
          <w:szCs w:val="26"/>
        </w:rPr>
        <w:t xml:space="preserve">Section One — The Language, and the Figure of the Year</w:t>
      </w:r>
    </w:p>
    <w:p>
      <w:pPr>
        <w:spacing w:after="140"/>
      </w:pPr>
      <w:r>
        <w:rPr>
          <w:i/>
          <w:iCs/>
          <w:color w:val="5C6770"/>
          <w:sz w:val="20"/>
          <w:szCs w:val="20"/>
        </w:rPr>
        <w:t xml:space="preserve">Lessons 1–10</w:t>
      </w:r>
    </w:p>
    <w:tbl>
      <w:tblPr>
        <w:tblW w:type="dxa" w:w="9000"/>
        <w:tblBorders>
          <w:top w:val="single" w:color="C9D4DC" w:sz="4"/>
          <w:left w:val="none"/>
          <w:bottom w:val="single" w:color="C9D4DC" w:sz="4"/>
          <w:right w:val="none"/>
          <w:insideH w:val="single" w:color="E2E8ED" w:sz="2"/>
          <w:insideV w:val="none"/>
        </w:tblBorders>
      </w:tblPr>
      <w:tblGrid>
        <w:gridCol w:w="900"/>
        <w:gridCol w:w="8100"/>
      </w:tblGrid>
      <w:tr>
        <w:tc>
          <w:tcPr>
            <w:tcW w:type="dxa" w:w="900"/>
            <w:shd w:fill="EAF1F6" w:val="clear"/>
            <w:tcMar>
              <w:top w:type="dxa" w:w="100"/>
              <w:left w:type="dxa" w:w="120"/>
              <w:bottom w:type="dxa" w:w="100"/>
              <w:right w:type="dxa" w:w="120"/>
            </w:tcMar>
          </w:tcPr>
          <w:p>
            <w:pPr>
              <w:jc w:val="center"/>
            </w:pPr>
            <w:r>
              <w:rPr>
                <w:b/>
                <w:bCs/>
                <w:color w:val="2B5F82"/>
              </w:rPr>
              <w:t xml:space="preserve">1</w:t>
            </w:r>
          </w:p>
        </w:tc>
        <w:tc>
          <w:tcPr>
            <w:tcW w:type="dxa" w:w="8100"/>
            <w:tcMar>
              <w:top w:type="dxa" w:w="100"/>
              <w:left w:type="dxa" w:w="160"/>
              <w:bottom w:type="dxa" w:w="100"/>
              <w:right w:type="dxa" w:w="120"/>
            </w:tcMar>
          </w:tcPr>
          <w:p>
            <w:r>
              <w:t xml:space="preserve">What Mundane Astrology Judges</w:t>
            </w:r>
          </w:p>
        </w:tc>
      </w:tr>
      <w:tr>
        <w:tc>
          <w:tcPr>
            <w:tcW w:type="dxa" w:w="900"/>
            <w:shd w:fill="EAF1F6" w:val="clear"/>
            <w:tcMar>
              <w:top w:type="dxa" w:w="100"/>
              <w:left w:type="dxa" w:w="120"/>
              <w:bottom w:type="dxa" w:w="100"/>
              <w:right w:type="dxa" w:w="120"/>
            </w:tcMar>
          </w:tcPr>
          <w:p>
            <w:pPr>
              <w:jc w:val="center"/>
            </w:pPr>
            <w:r>
              <w:rPr>
                <w:b/>
                <w:bCs/>
                <w:color w:val="2B5F82"/>
              </w:rPr>
              <w:t xml:space="preserve">2</w:t>
            </w:r>
          </w:p>
        </w:tc>
        <w:tc>
          <w:tcPr>
            <w:tcW w:type="dxa" w:w="8100"/>
            <w:tcMar>
              <w:top w:type="dxa" w:w="100"/>
              <w:left w:type="dxa" w:w="160"/>
              <w:bottom w:type="dxa" w:w="100"/>
              <w:right w:type="dxa" w:w="120"/>
            </w:tcMar>
          </w:tcPr>
          <w:p>
            <w:r>
              <w:t xml:space="preserve">The Zodiac and the Signs in Mundane Judgement</w:t>
            </w:r>
          </w:p>
        </w:tc>
      </w:tr>
      <w:tr>
        <w:tc>
          <w:tcPr>
            <w:tcW w:type="dxa" w:w="900"/>
            <w:shd w:fill="EAF1F6" w:val="clear"/>
            <w:tcMar>
              <w:top w:type="dxa" w:w="100"/>
              <w:left w:type="dxa" w:w="120"/>
              <w:bottom w:type="dxa" w:w="100"/>
              <w:right w:type="dxa" w:w="120"/>
            </w:tcMar>
          </w:tcPr>
          <w:p>
            <w:pPr>
              <w:jc w:val="center"/>
            </w:pPr>
            <w:r>
              <w:rPr>
                <w:b/>
                <w:bCs/>
                <w:color w:val="2B5F82"/>
              </w:rPr>
              <w:t xml:space="preserve">3</w:t>
            </w:r>
          </w:p>
        </w:tc>
        <w:tc>
          <w:tcPr>
            <w:tcW w:type="dxa" w:w="8100"/>
            <w:tcMar>
              <w:top w:type="dxa" w:w="100"/>
              <w:left w:type="dxa" w:w="160"/>
              <w:bottom w:type="dxa" w:w="100"/>
              <w:right w:type="dxa" w:w="120"/>
            </w:tcMar>
          </w:tcPr>
          <w:p>
            <w:r>
              <w:t xml:space="preserve">Erecting the Mundane Figure</w:t>
            </w:r>
          </w:p>
        </w:tc>
      </w:tr>
      <w:tr>
        <w:tc>
          <w:tcPr>
            <w:tcW w:type="dxa" w:w="900"/>
            <w:shd w:fill="EAF1F6" w:val="clear"/>
            <w:tcMar>
              <w:top w:type="dxa" w:w="100"/>
              <w:left w:type="dxa" w:w="120"/>
              <w:bottom w:type="dxa" w:w="100"/>
              <w:right w:type="dxa" w:w="120"/>
            </w:tcMar>
          </w:tcPr>
          <w:p>
            <w:pPr>
              <w:jc w:val="center"/>
            </w:pPr>
            <w:r>
              <w:rPr>
                <w:b/>
                <w:bCs/>
                <w:color w:val="2B5F82"/>
              </w:rPr>
              <w:t xml:space="preserve">4</w:t>
            </w:r>
          </w:p>
        </w:tc>
        <w:tc>
          <w:tcPr>
            <w:tcW w:type="dxa" w:w="8100"/>
            <w:tcMar>
              <w:top w:type="dxa" w:w="100"/>
              <w:left w:type="dxa" w:w="160"/>
              <w:bottom w:type="dxa" w:w="100"/>
              <w:right w:type="dxa" w:w="120"/>
            </w:tcMar>
          </w:tcPr>
          <w:p>
            <w:r>
              <w:t xml:space="preserve">The Houses I — the Angles and the Succedents</w:t>
            </w:r>
          </w:p>
        </w:tc>
      </w:tr>
      <w:tr>
        <w:tc>
          <w:tcPr>
            <w:tcW w:type="dxa" w:w="900"/>
            <w:shd w:fill="EAF1F6" w:val="clear"/>
            <w:tcMar>
              <w:top w:type="dxa" w:w="100"/>
              <w:left w:type="dxa" w:w="120"/>
              <w:bottom w:type="dxa" w:w="100"/>
              <w:right w:type="dxa" w:w="120"/>
            </w:tcMar>
          </w:tcPr>
          <w:p>
            <w:pPr>
              <w:jc w:val="center"/>
            </w:pPr>
            <w:r>
              <w:rPr>
                <w:b/>
                <w:bCs/>
                <w:color w:val="2B5F82"/>
              </w:rPr>
              <w:t xml:space="preserve">5</w:t>
            </w:r>
          </w:p>
        </w:tc>
        <w:tc>
          <w:tcPr>
            <w:tcW w:type="dxa" w:w="8100"/>
            <w:tcMar>
              <w:top w:type="dxa" w:w="100"/>
              <w:left w:type="dxa" w:w="160"/>
              <w:bottom w:type="dxa" w:w="100"/>
              <w:right w:type="dxa" w:w="120"/>
            </w:tcMar>
          </w:tcPr>
          <w:p>
            <w:r>
              <w:t xml:space="preserve">The Houses II — the Cadents, the Derived Houses, and the Judgement Algorithm</w:t>
            </w:r>
          </w:p>
        </w:tc>
      </w:tr>
      <w:tr>
        <w:tc>
          <w:tcPr>
            <w:tcW w:type="dxa" w:w="900"/>
            <w:shd w:fill="EAF1F6" w:val="clear"/>
            <w:tcMar>
              <w:top w:type="dxa" w:w="100"/>
              <w:left w:type="dxa" w:w="120"/>
              <w:bottom w:type="dxa" w:w="100"/>
              <w:right w:type="dxa" w:w="120"/>
            </w:tcMar>
          </w:tcPr>
          <w:p>
            <w:pPr>
              <w:jc w:val="center"/>
            </w:pPr>
            <w:r>
              <w:rPr>
                <w:b/>
                <w:bCs/>
                <w:color w:val="2B5F82"/>
              </w:rPr>
              <w:t xml:space="preserve">6</w:t>
            </w:r>
          </w:p>
        </w:tc>
        <w:tc>
          <w:tcPr>
            <w:tcW w:type="dxa" w:w="8100"/>
            <w:tcMar>
              <w:top w:type="dxa" w:w="100"/>
              <w:left w:type="dxa" w:w="160"/>
              <w:bottom w:type="dxa" w:w="100"/>
              <w:right w:type="dxa" w:w="120"/>
            </w:tcMar>
          </w:tcPr>
          <w:p>
            <w:r>
              <w:t xml:space="preserve">The Planets, and the Lords of the Day and the Hour</w:t>
            </w:r>
          </w:p>
        </w:tc>
      </w:tr>
      <w:tr>
        <w:tc>
          <w:tcPr>
            <w:tcW w:type="dxa" w:w="900"/>
            <w:shd w:fill="EAF1F6" w:val="clear"/>
            <w:tcMar>
              <w:top w:type="dxa" w:w="100"/>
              <w:left w:type="dxa" w:w="120"/>
              <w:bottom w:type="dxa" w:w="100"/>
              <w:right w:type="dxa" w:w="120"/>
            </w:tcMar>
          </w:tcPr>
          <w:p>
            <w:pPr>
              <w:jc w:val="center"/>
            </w:pPr>
            <w:r>
              <w:rPr>
                <w:b/>
                <w:bCs/>
                <w:color w:val="2B5F82"/>
              </w:rPr>
              <w:t xml:space="preserve">7</w:t>
            </w:r>
          </w:p>
        </w:tc>
        <w:tc>
          <w:tcPr>
            <w:tcW w:type="dxa" w:w="8100"/>
            <w:tcMar>
              <w:top w:type="dxa" w:w="100"/>
              <w:left w:type="dxa" w:w="160"/>
              <w:bottom w:type="dxa" w:w="100"/>
              <w:right w:type="dxa" w:w="120"/>
            </w:tcMar>
          </w:tcPr>
          <w:p>
            <w:r>
              <w:t xml:space="preserve">The Moon</w:t>
            </w:r>
          </w:p>
        </w:tc>
      </w:tr>
      <w:tr>
        <w:tc>
          <w:tcPr>
            <w:tcW w:type="dxa" w:w="900"/>
            <w:shd w:fill="EAF1F6" w:val="clear"/>
            <w:tcMar>
              <w:top w:type="dxa" w:w="100"/>
              <w:left w:type="dxa" w:w="120"/>
              <w:bottom w:type="dxa" w:w="100"/>
              <w:right w:type="dxa" w:w="120"/>
            </w:tcMar>
          </w:tcPr>
          <w:p>
            <w:pPr>
              <w:jc w:val="center"/>
            </w:pPr>
            <w:r>
              <w:rPr>
                <w:b/>
                <w:bCs/>
                <w:color w:val="2B5F82"/>
              </w:rPr>
              <w:t xml:space="preserve">8</w:t>
            </w:r>
          </w:p>
        </w:tc>
        <w:tc>
          <w:tcPr>
            <w:tcW w:type="dxa" w:w="8100"/>
            <w:tcMar>
              <w:top w:type="dxa" w:w="100"/>
              <w:left w:type="dxa" w:w="160"/>
              <w:bottom w:type="dxa" w:w="100"/>
              <w:right w:type="dxa" w:w="120"/>
            </w:tcMar>
          </w:tcPr>
          <w:p>
            <w:r>
              <w:t xml:space="preserve">Essential Dignity, Reception, and the Two Words the Translators Confused</w:t>
            </w:r>
          </w:p>
        </w:tc>
      </w:tr>
      <w:tr>
        <w:tc>
          <w:tcPr>
            <w:tcW w:type="dxa" w:w="900"/>
            <w:shd w:fill="EAF1F6" w:val="clear"/>
            <w:tcMar>
              <w:top w:type="dxa" w:w="100"/>
              <w:left w:type="dxa" w:w="120"/>
              <w:bottom w:type="dxa" w:w="100"/>
              <w:right w:type="dxa" w:w="120"/>
            </w:tcMar>
          </w:tcPr>
          <w:p>
            <w:pPr>
              <w:jc w:val="center"/>
            </w:pPr>
            <w:r>
              <w:rPr>
                <w:b/>
                <w:bCs/>
                <w:color w:val="2B5F82"/>
              </w:rPr>
              <w:t xml:space="preserve">9</w:t>
            </w:r>
          </w:p>
        </w:tc>
        <w:tc>
          <w:tcPr>
            <w:tcW w:type="dxa" w:w="8100"/>
            <w:tcMar>
              <w:top w:type="dxa" w:w="100"/>
              <w:left w:type="dxa" w:w="160"/>
              <w:bottom w:type="dxa" w:w="100"/>
              <w:right w:type="dxa" w:w="120"/>
            </w:tcMar>
          </w:tcPr>
          <w:p>
            <w:r>
              <w:t xml:space="preserve">Accidental Dignity and the Condition of a Planet · GATE</w:t>
            </w:r>
          </w:p>
        </w:tc>
      </w:tr>
      <w:tr>
        <w:tc>
          <w:tcPr>
            <w:tcW w:type="dxa" w:w="900"/>
            <w:shd w:fill="EAF1F6" w:val="clear"/>
            <w:tcMar>
              <w:top w:type="dxa" w:w="100"/>
              <w:left w:type="dxa" w:w="120"/>
              <w:bottom w:type="dxa" w:w="100"/>
              <w:right w:type="dxa" w:w="120"/>
            </w:tcMar>
          </w:tcPr>
          <w:p>
            <w:pPr>
              <w:jc w:val="center"/>
            </w:pPr>
            <w:r>
              <w:rPr>
                <w:b/>
                <w:bCs/>
                <w:color w:val="2B5F82"/>
              </w:rPr>
              <w:t xml:space="preserve">10</w:t>
            </w:r>
          </w:p>
        </w:tc>
        <w:tc>
          <w:tcPr>
            <w:tcW w:type="dxa" w:w="8100"/>
            <w:tcMar>
              <w:top w:type="dxa" w:w="100"/>
              <w:left w:type="dxa" w:w="160"/>
              <w:bottom w:type="dxa" w:w="100"/>
              <w:right w:type="dxa" w:w="120"/>
            </w:tcMar>
          </w:tcPr>
          <w:p>
            <w:r>
              <w:t xml:space="preserve">The Aries Ingress — the Figure of the Year</w:t>
            </w:r>
          </w:p>
        </w:tc>
      </w:tr>
    </w:tbl>
    <w:p/>
    <w:p>
      <w:pPr>
        <w:spacing w:after="60" w:before="320"/>
      </w:pPr>
      <w:r>
        <w:rPr>
          <w:b/>
          <w:bCs/>
          <w:color w:val="1C314A"/>
          <w:sz w:val="26"/>
          <w:szCs w:val="26"/>
        </w:rPr>
        <w:t xml:space="preserve">Section Two — The Lord of the Year and the Great Cycles</w:t>
      </w:r>
    </w:p>
    <w:p>
      <w:pPr>
        <w:spacing w:after="140"/>
      </w:pPr>
      <w:r>
        <w:rPr>
          <w:i/>
          <w:iCs/>
          <w:color w:val="5C6770"/>
          <w:sz w:val="20"/>
          <w:szCs w:val="20"/>
        </w:rPr>
        <w:t xml:space="preserve">Lessons 11–20</w:t>
      </w:r>
    </w:p>
    <w:tbl>
      <w:tblPr>
        <w:tblW w:type="dxa" w:w="9000"/>
        <w:tblBorders>
          <w:top w:val="single" w:color="C9D4DC" w:sz="4"/>
          <w:left w:val="none"/>
          <w:bottom w:val="single" w:color="C9D4DC" w:sz="4"/>
          <w:right w:val="none"/>
          <w:insideH w:val="single" w:color="E2E8ED" w:sz="2"/>
          <w:insideV w:val="none"/>
        </w:tblBorders>
      </w:tblPr>
      <w:tblGrid>
        <w:gridCol w:w="900"/>
        <w:gridCol w:w="8100"/>
      </w:tblGrid>
      <w:tr>
        <w:tc>
          <w:tcPr>
            <w:tcW w:type="dxa" w:w="900"/>
            <w:shd w:fill="EAF1F6" w:val="clear"/>
            <w:tcMar>
              <w:top w:type="dxa" w:w="100"/>
              <w:left w:type="dxa" w:w="120"/>
              <w:bottom w:type="dxa" w:w="100"/>
              <w:right w:type="dxa" w:w="120"/>
            </w:tcMar>
          </w:tcPr>
          <w:p>
            <w:pPr>
              <w:jc w:val="center"/>
            </w:pPr>
            <w:r>
              <w:rPr>
                <w:b/>
                <w:bCs/>
                <w:color w:val="2B5F82"/>
              </w:rPr>
              <w:t xml:space="preserve">11</w:t>
            </w:r>
          </w:p>
        </w:tc>
        <w:tc>
          <w:tcPr>
            <w:tcW w:type="dxa" w:w="8100"/>
            <w:tcMar>
              <w:top w:type="dxa" w:w="100"/>
              <w:left w:type="dxa" w:w="160"/>
              <w:bottom w:type="dxa" w:w="100"/>
              <w:right w:type="dxa" w:w="120"/>
            </w:tcMar>
          </w:tcPr>
          <w:p>
            <w:r>
              <w:t xml:space="preserve">The Lord of the Year · GATE</w:t>
            </w:r>
          </w:p>
        </w:tc>
      </w:tr>
      <w:tr>
        <w:tc>
          <w:tcPr>
            <w:tcW w:type="dxa" w:w="900"/>
            <w:shd w:fill="EAF1F6" w:val="clear"/>
            <w:tcMar>
              <w:top w:type="dxa" w:w="100"/>
              <w:left w:type="dxa" w:w="120"/>
              <w:bottom w:type="dxa" w:w="100"/>
              <w:right w:type="dxa" w:w="120"/>
            </w:tcMar>
          </w:tcPr>
          <w:p>
            <w:pPr>
              <w:jc w:val="center"/>
            </w:pPr>
            <w:r>
              <w:rPr>
                <w:b/>
                <w:bCs/>
                <w:color w:val="2B5F82"/>
              </w:rPr>
              <w:t xml:space="preserve">12</w:t>
            </w:r>
          </w:p>
        </w:tc>
        <w:tc>
          <w:tcPr>
            <w:tcW w:type="dxa" w:w="8100"/>
            <w:tcMar>
              <w:top w:type="dxa" w:w="100"/>
              <w:left w:type="dxa" w:w="160"/>
              <w:bottom w:type="dxa" w:w="100"/>
              <w:right w:type="dxa" w:w="120"/>
            </w:tcMar>
          </w:tcPr>
          <w:p>
            <w:r>
              <w:t xml:space="preserve">The Lord of the Year Judged</w:t>
            </w:r>
          </w:p>
        </w:tc>
      </w:tr>
      <w:tr>
        <w:tc>
          <w:tcPr>
            <w:tcW w:type="dxa" w:w="900"/>
            <w:shd w:fill="EAF1F6" w:val="clear"/>
            <w:tcMar>
              <w:top w:type="dxa" w:w="100"/>
              <w:left w:type="dxa" w:w="120"/>
              <w:bottom w:type="dxa" w:w="100"/>
              <w:right w:type="dxa" w:w="120"/>
            </w:tcMar>
          </w:tcPr>
          <w:p>
            <w:pPr>
              <w:jc w:val="center"/>
            </w:pPr>
            <w:r>
              <w:rPr>
                <w:b/>
                <w:bCs/>
                <w:color w:val="2B5F82"/>
              </w:rPr>
              <w:t xml:space="preserve">13</w:t>
            </w:r>
          </w:p>
        </w:tc>
        <w:tc>
          <w:tcPr>
            <w:tcW w:type="dxa" w:w="8100"/>
            <w:tcMar>
              <w:top w:type="dxa" w:w="100"/>
              <w:left w:type="dxa" w:w="160"/>
              <w:bottom w:type="dxa" w:w="100"/>
              <w:right w:type="dxa" w:w="120"/>
            </w:tcMar>
          </w:tcPr>
          <w:p>
            <w:r>
              <w:t xml:space="preserve">The Lord of the Year Through the Twelve Signs</w:t>
            </w:r>
          </w:p>
        </w:tc>
      </w:tr>
      <w:tr>
        <w:tc>
          <w:tcPr>
            <w:tcW w:type="dxa" w:w="900"/>
            <w:shd w:fill="EAF1F6" w:val="clear"/>
            <w:tcMar>
              <w:top w:type="dxa" w:w="100"/>
              <w:left w:type="dxa" w:w="120"/>
              <w:bottom w:type="dxa" w:w="100"/>
              <w:right w:type="dxa" w:w="120"/>
            </w:tcMar>
          </w:tcPr>
          <w:p>
            <w:pPr>
              <w:jc w:val="center"/>
            </w:pPr>
            <w:r>
              <w:rPr>
                <w:b/>
                <w:bCs/>
                <w:color w:val="2B5F82"/>
              </w:rPr>
              <w:t xml:space="preserve">14</w:t>
            </w:r>
          </w:p>
        </w:tc>
        <w:tc>
          <w:tcPr>
            <w:tcW w:type="dxa" w:w="8100"/>
            <w:tcMar>
              <w:top w:type="dxa" w:w="100"/>
              <w:left w:type="dxa" w:w="160"/>
              <w:bottom w:type="dxa" w:w="100"/>
              <w:right w:type="dxa" w:w="120"/>
            </w:tcMar>
          </w:tcPr>
          <w:p>
            <w:r>
              <w:t xml:space="preserve">The Head and Tail of the Dragon</w:t>
            </w:r>
          </w:p>
        </w:tc>
      </w:tr>
      <w:tr>
        <w:tc>
          <w:tcPr>
            <w:tcW w:type="dxa" w:w="900"/>
            <w:shd w:fill="EAF1F6" w:val="clear"/>
            <w:tcMar>
              <w:top w:type="dxa" w:w="100"/>
              <w:left w:type="dxa" w:w="120"/>
              <w:bottom w:type="dxa" w:w="100"/>
              <w:right w:type="dxa" w:w="120"/>
            </w:tcMar>
          </w:tcPr>
          <w:p>
            <w:pPr>
              <w:jc w:val="center"/>
            </w:pPr>
            <w:r>
              <w:rPr>
                <w:b/>
                <w:bCs/>
                <w:color w:val="2B5F82"/>
              </w:rPr>
              <w:t xml:space="preserve">15</w:t>
            </w:r>
          </w:p>
        </w:tc>
        <w:tc>
          <w:tcPr>
            <w:tcW w:type="dxa" w:w="8100"/>
            <w:tcMar>
              <w:top w:type="dxa" w:w="100"/>
              <w:left w:type="dxa" w:w="160"/>
              <w:bottom w:type="dxa" w:w="100"/>
              <w:right w:type="dxa" w:w="120"/>
            </w:tcMar>
          </w:tcPr>
          <w:p>
            <w:r>
              <w:t xml:space="preserve">The Aspects, Application and Separation</w:t>
            </w:r>
          </w:p>
        </w:tc>
      </w:tr>
      <w:tr>
        <w:tc>
          <w:tcPr>
            <w:tcW w:type="dxa" w:w="900"/>
            <w:shd w:fill="EAF1F6" w:val="clear"/>
            <w:tcMar>
              <w:top w:type="dxa" w:w="100"/>
              <w:left w:type="dxa" w:w="120"/>
              <w:bottom w:type="dxa" w:w="100"/>
              <w:right w:type="dxa" w:w="120"/>
            </w:tcMar>
          </w:tcPr>
          <w:p>
            <w:pPr>
              <w:jc w:val="center"/>
            </w:pPr>
            <w:r>
              <w:rPr>
                <w:b/>
                <w:bCs/>
                <w:color w:val="2B5F82"/>
              </w:rPr>
              <w:t xml:space="preserve">16</w:t>
            </w:r>
          </w:p>
        </w:tc>
        <w:tc>
          <w:tcPr>
            <w:tcW w:type="dxa" w:w="8100"/>
            <w:tcMar>
              <w:top w:type="dxa" w:w="100"/>
              <w:left w:type="dxa" w:w="160"/>
              <w:bottom w:type="dxa" w:w="100"/>
              <w:right w:type="dxa" w:w="120"/>
            </w:tcMar>
          </w:tcPr>
          <w:p>
            <w:r>
              <w:t xml:space="preserve">The Pre-Ingress Syzygy</w:t>
            </w:r>
          </w:p>
        </w:tc>
      </w:tr>
      <w:tr>
        <w:tc>
          <w:tcPr>
            <w:tcW w:type="dxa" w:w="900"/>
            <w:shd w:fill="EAF1F6" w:val="clear"/>
            <w:tcMar>
              <w:top w:type="dxa" w:w="100"/>
              <w:left w:type="dxa" w:w="120"/>
              <w:bottom w:type="dxa" w:w="100"/>
              <w:right w:type="dxa" w:w="120"/>
            </w:tcMar>
          </w:tcPr>
          <w:p>
            <w:pPr>
              <w:jc w:val="center"/>
            </w:pPr>
            <w:r>
              <w:rPr>
                <w:b/>
                <w:bCs/>
                <w:color w:val="2B5F82"/>
              </w:rPr>
              <w:t xml:space="preserve">17</w:t>
            </w:r>
          </w:p>
        </w:tc>
        <w:tc>
          <w:tcPr>
            <w:tcW w:type="dxa" w:w="8100"/>
            <w:tcMar>
              <w:top w:type="dxa" w:w="100"/>
              <w:left w:type="dxa" w:w="160"/>
              <w:bottom w:type="dxa" w:w="100"/>
              <w:right w:type="dxa" w:w="120"/>
            </w:tcMar>
          </w:tcPr>
          <w:p>
            <w:r>
              <w:t xml:space="preserve">Eclipses</w:t>
            </w:r>
          </w:p>
        </w:tc>
      </w:tr>
      <w:tr>
        <w:tc>
          <w:tcPr>
            <w:tcW w:type="dxa" w:w="900"/>
            <w:shd w:fill="EAF1F6" w:val="clear"/>
            <w:tcMar>
              <w:top w:type="dxa" w:w="100"/>
              <w:left w:type="dxa" w:w="120"/>
              <w:bottom w:type="dxa" w:w="100"/>
              <w:right w:type="dxa" w:w="120"/>
            </w:tcMar>
          </w:tcPr>
          <w:p>
            <w:pPr>
              <w:jc w:val="center"/>
            </w:pPr>
            <w:r>
              <w:rPr>
                <w:b/>
                <w:bCs/>
                <w:color w:val="2B5F82"/>
              </w:rPr>
              <w:t xml:space="preserve">18</w:t>
            </w:r>
          </w:p>
        </w:tc>
        <w:tc>
          <w:tcPr>
            <w:tcW w:type="dxa" w:w="8100"/>
            <w:tcMar>
              <w:top w:type="dxa" w:w="100"/>
              <w:left w:type="dxa" w:w="160"/>
              <w:bottom w:type="dxa" w:w="100"/>
              <w:right w:type="dxa" w:w="120"/>
            </w:tcMar>
          </w:tcPr>
          <w:p>
            <w:r>
              <w:t xml:space="preserve">Comets and Blazing Stars</w:t>
            </w:r>
          </w:p>
        </w:tc>
      </w:tr>
      <w:tr>
        <w:tc>
          <w:tcPr>
            <w:tcW w:type="dxa" w:w="900"/>
            <w:shd w:fill="EAF1F6" w:val="clear"/>
            <w:tcMar>
              <w:top w:type="dxa" w:w="100"/>
              <w:left w:type="dxa" w:w="120"/>
              <w:bottom w:type="dxa" w:w="100"/>
              <w:right w:type="dxa" w:w="120"/>
            </w:tcMar>
          </w:tcPr>
          <w:p>
            <w:pPr>
              <w:jc w:val="center"/>
            </w:pPr>
            <w:r>
              <w:rPr>
                <w:b/>
                <w:bCs/>
                <w:color w:val="2B5F82"/>
              </w:rPr>
              <w:t xml:space="preserve">19</w:t>
            </w:r>
          </w:p>
        </w:tc>
        <w:tc>
          <w:tcPr>
            <w:tcW w:type="dxa" w:w="8100"/>
            <w:tcMar>
              <w:top w:type="dxa" w:w="100"/>
              <w:left w:type="dxa" w:w="160"/>
              <w:bottom w:type="dxa" w:w="100"/>
              <w:right w:type="dxa" w:w="120"/>
            </w:tcMar>
          </w:tcPr>
          <w:p>
            <w:r>
              <w:t xml:space="preserve">The Mundane Lots</w:t>
            </w:r>
          </w:p>
        </w:tc>
      </w:tr>
      <w:tr>
        <w:tc>
          <w:tcPr>
            <w:tcW w:type="dxa" w:w="900"/>
            <w:shd w:fill="EAF1F6" w:val="clear"/>
            <w:tcMar>
              <w:top w:type="dxa" w:w="100"/>
              <w:left w:type="dxa" w:w="120"/>
              <w:bottom w:type="dxa" w:w="100"/>
              <w:right w:type="dxa" w:w="120"/>
            </w:tcMar>
          </w:tcPr>
          <w:p>
            <w:pPr>
              <w:jc w:val="center"/>
            </w:pPr>
            <w:r>
              <w:rPr>
                <w:b/>
                <w:bCs/>
                <w:color w:val="2B5F82"/>
              </w:rPr>
              <w:t xml:space="preserve">20</w:t>
            </w:r>
          </w:p>
        </w:tc>
        <w:tc>
          <w:tcPr>
            <w:tcW w:type="dxa" w:w="8100"/>
            <w:tcMar>
              <w:top w:type="dxa" w:w="100"/>
              <w:left w:type="dxa" w:w="160"/>
              <w:bottom w:type="dxa" w:w="100"/>
              <w:right w:type="dxa" w:w="120"/>
            </w:tcMar>
          </w:tcPr>
          <w:p>
            <w:r>
              <w:t xml:space="preserve">The Great Conjunctions of Saturn and Jupiter</w:t>
            </w:r>
          </w:p>
        </w:tc>
      </w:tr>
    </w:tbl>
    <w:p/>
    <w:p>
      <w:pPr>
        <w:spacing w:after="60" w:before="320"/>
      </w:pPr>
      <w:r>
        <w:rPr>
          <w:b/>
          <w:bCs/>
          <w:color w:val="1C314A"/>
          <w:sz w:val="26"/>
          <w:szCs w:val="26"/>
        </w:rPr>
        <w:t xml:space="preserve">Section Three — Judging Kings, Peoples, and the World</w:t>
      </w:r>
    </w:p>
    <w:p>
      <w:pPr>
        <w:spacing w:after="140"/>
      </w:pPr>
      <w:r>
        <w:rPr>
          <w:i/>
          <w:iCs/>
          <w:color w:val="5C6770"/>
          <w:sz w:val="20"/>
          <w:szCs w:val="20"/>
        </w:rPr>
        <w:t xml:space="preserve">Lessons 21–40</w:t>
      </w:r>
    </w:p>
    <w:tbl>
      <w:tblPr>
        <w:tblW w:type="dxa" w:w="9000"/>
        <w:tblBorders>
          <w:top w:val="single" w:color="C9D4DC" w:sz="4"/>
          <w:left w:val="none"/>
          <w:bottom w:val="single" w:color="C9D4DC" w:sz="4"/>
          <w:right w:val="none"/>
          <w:insideH w:val="single" w:color="E2E8ED" w:sz="2"/>
          <w:insideV w:val="none"/>
        </w:tblBorders>
      </w:tblPr>
      <w:tblGrid>
        <w:gridCol w:w="900"/>
        <w:gridCol w:w="8100"/>
      </w:tblGrid>
      <w:tr>
        <w:tc>
          <w:tcPr>
            <w:tcW w:type="dxa" w:w="900"/>
            <w:shd w:fill="EAF1F6" w:val="clear"/>
            <w:tcMar>
              <w:top w:type="dxa" w:w="100"/>
              <w:left w:type="dxa" w:w="120"/>
              <w:bottom w:type="dxa" w:w="100"/>
              <w:right w:type="dxa" w:w="120"/>
            </w:tcMar>
          </w:tcPr>
          <w:p>
            <w:pPr>
              <w:jc w:val="center"/>
            </w:pPr>
            <w:r>
              <w:rPr>
                <w:b/>
                <w:bCs/>
                <w:color w:val="2B5F82"/>
              </w:rPr>
              <w:t xml:space="preserve">21</w:t>
            </w:r>
          </w:p>
        </w:tc>
        <w:tc>
          <w:tcPr>
            <w:tcW w:type="dxa" w:w="8100"/>
            <w:tcMar>
              <w:top w:type="dxa" w:w="100"/>
              <w:left w:type="dxa" w:w="160"/>
              <w:bottom w:type="dxa" w:w="100"/>
              <w:right w:type="dxa" w:w="120"/>
            </w:tcMar>
          </w:tcPr>
          <w:p>
            <w:r>
              <w:t xml:space="preserve">Triplicity Shifts and the Great Circuit</w:t>
            </w:r>
          </w:p>
        </w:tc>
      </w:tr>
      <w:tr>
        <w:tc>
          <w:tcPr>
            <w:tcW w:type="dxa" w:w="900"/>
            <w:shd w:fill="EAF1F6" w:val="clear"/>
            <w:tcMar>
              <w:top w:type="dxa" w:w="100"/>
              <w:left w:type="dxa" w:w="120"/>
              <w:bottom w:type="dxa" w:w="100"/>
              <w:right w:type="dxa" w:w="120"/>
            </w:tcMar>
          </w:tcPr>
          <w:p>
            <w:pPr>
              <w:jc w:val="center"/>
            </w:pPr>
            <w:r>
              <w:rPr>
                <w:b/>
                <w:bCs/>
                <w:color w:val="2B5F82"/>
              </w:rPr>
              <w:t xml:space="preserve">22</w:t>
            </w:r>
          </w:p>
        </w:tc>
        <w:tc>
          <w:tcPr>
            <w:tcW w:type="dxa" w:w="8100"/>
            <w:tcMar>
              <w:top w:type="dxa" w:w="100"/>
              <w:left w:type="dxa" w:w="160"/>
              <w:bottom w:type="dxa" w:w="100"/>
              <w:right w:type="dxa" w:w="120"/>
            </w:tcMar>
          </w:tcPr>
          <w:p>
            <w:r>
              <w:t xml:space="preserve">Foundation and Accession Figures</w:t>
            </w:r>
          </w:p>
        </w:tc>
      </w:tr>
      <w:tr>
        <w:tc>
          <w:tcPr>
            <w:tcW w:type="dxa" w:w="900"/>
            <w:shd w:fill="EAF1F6" w:val="clear"/>
            <w:tcMar>
              <w:top w:type="dxa" w:w="100"/>
              <w:left w:type="dxa" w:w="120"/>
              <w:bottom w:type="dxa" w:w="100"/>
              <w:right w:type="dxa" w:w="120"/>
            </w:tcMar>
          </w:tcPr>
          <w:p>
            <w:pPr>
              <w:jc w:val="center"/>
            </w:pPr>
            <w:r>
              <w:rPr>
                <w:b/>
                <w:bCs/>
                <w:color w:val="2B5F82"/>
              </w:rPr>
              <w:t xml:space="preserve">23</w:t>
            </w:r>
          </w:p>
        </w:tc>
        <w:tc>
          <w:tcPr>
            <w:tcW w:type="dxa" w:w="8100"/>
            <w:tcMar>
              <w:top w:type="dxa" w:w="100"/>
              <w:left w:type="dxa" w:w="160"/>
              <w:bottom w:type="dxa" w:w="100"/>
              <w:right w:type="dxa" w:w="120"/>
            </w:tcMar>
          </w:tcPr>
          <w:p>
            <w:r>
              <w:t xml:space="preserve">Profections, Firdārīyāt and the Lords of Time</w:t>
            </w:r>
          </w:p>
        </w:tc>
      </w:tr>
      <w:tr>
        <w:tc>
          <w:tcPr>
            <w:tcW w:type="dxa" w:w="900"/>
            <w:shd w:fill="EAF1F6" w:val="clear"/>
            <w:tcMar>
              <w:top w:type="dxa" w:w="100"/>
              <w:left w:type="dxa" w:w="120"/>
              <w:bottom w:type="dxa" w:w="100"/>
              <w:right w:type="dxa" w:w="120"/>
            </w:tcMar>
          </w:tcPr>
          <w:p>
            <w:pPr>
              <w:jc w:val="center"/>
            </w:pPr>
            <w:r>
              <w:rPr>
                <w:b/>
                <w:bCs/>
                <w:color w:val="2B5F82"/>
              </w:rPr>
              <w:t xml:space="preserve">24</w:t>
            </w:r>
          </w:p>
        </w:tc>
        <w:tc>
          <w:tcPr>
            <w:tcW w:type="dxa" w:w="8100"/>
            <w:tcMar>
              <w:top w:type="dxa" w:w="100"/>
              <w:left w:type="dxa" w:w="160"/>
              <w:bottom w:type="dxa" w:w="100"/>
              <w:right w:type="dxa" w:w="120"/>
            </w:tcMar>
          </w:tcPr>
          <w:p>
            <w:r>
              <w:t xml:space="preserve">Timing Within the Year</w:t>
            </w:r>
          </w:p>
        </w:tc>
      </w:tr>
      <w:tr>
        <w:tc>
          <w:tcPr>
            <w:tcW w:type="dxa" w:w="900"/>
            <w:shd w:fill="EAF1F6" w:val="clear"/>
            <w:tcMar>
              <w:top w:type="dxa" w:w="100"/>
              <w:left w:type="dxa" w:w="120"/>
              <w:bottom w:type="dxa" w:w="100"/>
              <w:right w:type="dxa" w:w="120"/>
            </w:tcMar>
          </w:tcPr>
          <w:p>
            <w:pPr>
              <w:jc w:val="center"/>
            </w:pPr>
            <w:r>
              <w:rPr>
                <w:b/>
                <w:bCs/>
                <w:color w:val="2B5F82"/>
              </w:rPr>
              <w:t xml:space="preserve">25</w:t>
            </w:r>
          </w:p>
        </w:tc>
        <w:tc>
          <w:tcPr>
            <w:tcW w:type="dxa" w:w="8100"/>
            <w:tcMar>
              <w:top w:type="dxa" w:w="100"/>
              <w:left w:type="dxa" w:w="160"/>
              <w:bottom w:type="dxa" w:w="100"/>
              <w:right w:type="dxa" w:w="120"/>
            </w:tcMar>
          </w:tcPr>
          <w:p>
            <w:r>
              <w:t xml:space="preserve">The King and the Government</w:t>
            </w:r>
          </w:p>
        </w:tc>
      </w:tr>
      <w:tr>
        <w:tc>
          <w:tcPr>
            <w:tcW w:type="dxa" w:w="900"/>
            <w:shd w:fill="EAF1F6" w:val="clear"/>
            <w:tcMar>
              <w:top w:type="dxa" w:w="100"/>
              <w:left w:type="dxa" w:w="120"/>
              <w:bottom w:type="dxa" w:w="100"/>
              <w:right w:type="dxa" w:w="120"/>
            </w:tcMar>
          </w:tcPr>
          <w:p>
            <w:pPr>
              <w:jc w:val="center"/>
            </w:pPr>
            <w:r>
              <w:rPr>
                <w:b/>
                <w:bCs/>
                <w:color w:val="2B5F82"/>
              </w:rPr>
              <w:t xml:space="preserve">26</w:t>
            </w:r>
          </w:p>
        </w:tc>
        <w:tc>
          <w:tcPr>
            <w:tcW w:type="dxa" w:w="8100"/>
            <w:tcMar>
              <w:top w:type="dxa" w:w="100"/>
              <w:left w:type="dxa" w:w="160"/>
              <w:bottom w:type="dxa" w:w="100"/>
              <w:right w:type="dxa" w:w="120"/>
            </w:tcMar>
          </w:tcPr>
          <w:p>
            <w:r>
              <w:t xml:space="preserve">The People and the Commons</w:t>
            </w:r>
          </w:p>
        </w:tc>
      </w:tr>
      <w:tr>
        <w:tc>
          <w:tcPr>
            <w:tcW w:type="dxa" w:w="900"/>
            <w:shd w:fill="EAF1F6" w:val="clear"/>
            <w:tcMar>
              <w:top w:type="dxa" w:w="100"/>
              <w:left w:type="dxa" w:w="120"/>
              <w:bottom w:type="dxa" w:w="100"/>
              <w:right w:type="dxa" w:w="120"/>
            </w:tcMar>
          </w:tcPr>
          <w:p>
            <w:pPr>
              <w:jc w:val="center"/>
            </w:pPr>
            <w:r>
              <w:rPr>
                <w:b/>
                <w:bCs/>
                <w:color w:val="2B5F82"/>
              </w:rPr>
              <w:t xml:space="preserve">27</w:t>
            </w:r>
          </w:p>
        </w:tc>
        <w:tc>
          <w:tcPr>
            <w:tcW w:type="dxa" w:w="8100"/>
            <w:tcMar>
              <w:top w:type="dxa" w:w="100"/>
              <w:left w:type="dxa" w:w="160"/>
              <w:bottom w:type="dxa" w:w="100"/>
              <w:right w:type="dxa" w:w="120"/>
            </w:tcMar>
          </w:tcPr>
          <w:p>
            <w:r>
              <w:t xml:space="preserve">War, Armies and Victory</w:t>
            </w:r>
          </w:p>
        </w:tc>
      </w:tr>
      <w:tr>
        <w:tc>
          <w:tcPr>
            <w:tcW w:type="dxa" w:w="900"/>
            <w:shd w:fill="EAF1F6" w:val="clear"/>
            <w:tcMar>
              <w:top w:type="dxa" w:w="100"/>
              <w:left w:type="dxa" w:w="120"/>
              <w:bottom w:type="dxa" w:w="100"/>
              <w:right w:type="dxa" w:w="120"/>
            </w:tcMar>
          </w:tcPr>
          <w:p>
            <w:pPr>
              <w:jc w:val="center"/>
            </w:pPr>
            <w:r>
              <w:rPr>
                <w:b/>
                <w:bCs/>
                <w:color w:val="2B5F82"/>
              </w:rPr>
              <w:t xml:space="preserve">28</w:t>
            </w:r>
          </w:p>
        </w:tc>
        <w:tc>
          <w:tcPr>
            <w:tcW w:type="dxa" w:w="8100"/>
            <w:tcMar>
              <w:top w:type="dxa" w:w="100"/>
              <w:left w:type="dxa" w:w="160"/>
              <w:bottom w:type="dxa" w:w="100"/>
              <w:right w:type="dxa" w:w="120"/>
            </w:tcMar>
          </w:tcPr>
          <w:p>
            <w:r>
              <w:t xml:space="preserve">The Treasury, Prices, Harvests and Markets</w:t>
            </w:r>
          </w:p>
        </w:tc>
      </w:tr>
      <w:tr>
        <w:tc>
          <w:tcPr>
            <w:tcW w:type="dxa" w:w="900"/>
            <w:shd w:fill="EAF1F6" w:val="clear"/>
            <w:tcMar>
              <w:top w:type="dxa" w:w="100"/>
              <w:left w:type="dxa" w:w="120"/>
              <w:bottom w:type="dxa" w:w="100"/>
              <w:right w:type="dxa" w:w="120"/>
            </w:tcMar>
          </w:tcPr>
          <w:p>
            <w:pPr>
              <w:jc w:val="center"/>
            </w:pPr>
            <w:r>
              <w:rPr>
                <w:b/>
                <w:bCs/>
                <w:color w:val="2B5F82"/>
              </w:rPr>
              <w:t xml:space="preserve">29</w:t>
            </w:r>
          </w:p>
        </w:tc>
        <w:tc>
          <w:tcPr>
            <w:tcW w:type="dxa" w:w="8100"/>
            <w:tcMar>
              <w:top w:type="dxa" w:w="100"/>
              <w:left w:type="dxa" w:w="160"/>
              <w:bottom w:type="dxa" w:w="100"/>
              <w:right w:type="dxa" w:w="120"/>
            </w:tcMar>
          </w:tcPr>
          <w:p>
            <w:r>
              <w:t xml:space="preserve">Sickness, Plague and Mortality</w:t>
            </w:r>
          </w:p>
        </w:tc>
      </w:tr>
      <w:tr>
        <w:tc>
          <w:tcPr>
            <w:tcW w:type="dxa" w:w="900"/>
            <w:shd w:fill="EAF1F6" w:val="clear"/>
            <w:tcMar>
              <w:top w:type="dxa" w:w="100"/>
              <w:left w:type="dxa" w:w="120"/>
              <w:bottom w:type="dxa" w:w="100"/>
              <w:right w:type="dxa" w:w="120"/>
            </w:tcMar>
          </w:tcPr>
          <w:p>
            <w:pPr>
              <w:jc w:val="center"/>
            </w:pPr>
            <w:r>
              <w:rPr>
                <w:b/>
                <w:bCs/>
                <w:color w:val="2B5F82"/>
              </w:rPr>
              <w:t xml:space="preserve">30</w:t>
            </w:r>
          </w:p>
        </w:tc>
        <w:tc>
          <w:tcPr>
            <w:tcW w:type="dxa" w:w="8100"/>
            <w:tcMar>
              <w:top w:type="dxa" w:w="100"/>
              <w:left w:type="dxa" w:w="160"/>
              <w:bottom w:type="dxa" w:w="100"/>
              <w:right w:type="dxa" w:w="120"/>
            </w:tcMar>
          </w:tcPr>
          <w:p>
            <w:r>
              <w:t xml:space="preserve">Religion, Law and Learning</w:t>
            </w:r>
          </w:p>
        </w:tc>
      </w:tr>
      <w:tr>
        <w:tc>
          <w:tcPr>
            <w:tcW w:type="dxa" w:w="900"/>
            <w:shd w:fill="EAF1F6" w:val="clear"/>
            <w:tcMar>
              <w:top w:type="dxa" w:w="100"/>
              <w:left w:type="dxa" w:w="120"/>
              <w:bottom w:type="dxa" w:w="100"/>
              <w:right w:type="dxa" w:w="120"/>
            </w:tcMar>
          </w:tcPr>
          <w:p>
            <w:pPr>
              <w:jc w:val="center"/>
            </w:pPr>
            <w:r>
              <w:rPr>
                <w:b/>
                <w:bCs/>
                <w:color w:val="2B5F82"/>
              </w:rPr>
              <w:t xml:space="preserve">31</w:t>
            </w:r>
          </w:p>
        </w:tc>
        <w:tc>
          <w:tcPr>
            <w:tcW w:type="dxa" w:w="8100"/>
            <w:tcMar>
              <w:top w:type="dxa" w:w="100"/>
              <w:left w:type="dxa" w:w="160"/>
              <w:bottom w:type="dxa" w:w="100"/>
              <w:right w:type="dxa" w:w="120"/>
            </w:tcMar>
          </w:tcPr>
          <w:p>
            <w:r>
              <w:t xml:space="preserve">The Weather I — Airs, Winds, Rains and the Opening of the Gates</w:t>
            </w:r>
          </w:p>
        </w:tc>
      </w:tr>
      <w:tr>
        <w:tc>
          <w:tcPr>
            <w:tcW w:type="dxa" w:w="900"/>
            <w:shd w:fill="EAF1F6" w:val="clear"/>
            <w:tcMar>
              <w:top w:type="dxa" w:w="100"/>
              <w:left w:type="dxa" w:w="120"/>
              <w:bottom w:type="dxa" w:w="100"/>
              <w:right w:type="dxa" w:w="120"/>
            </w:tcMar>
          </w:tcPr>
          <w:p>
            <w:pPr>
              <w:jc w:val="center"/>
            </w:pPr>
            <w:r>
              <w:rPr>
                <w:b/>
                <w:bCs/>
                <w:color w:val="2B5F82"/>
              </w:rPr>
              <w:t xml:space="preserve">32</w:t>
            </w:r>
          </w:p>
        </w:tc>
        <w:tc>
          <w:tcPr>
            <w:tcW w:type="dxa" w:w="8100"/>
            <w:tcMar>
              <w:top w:type="dxa" w:w="100"/>
              <w:left w:type="dxa" w:w="160"/>
              <w:bottom w:type="dxa" w:w="100"/>
              <w:right w:type="dxa" w:w="120"/>
            </w:tcMar>
          </w:tcPr>
          <w:p>
            <w:r>
              <w:t xml:space="preserve">The Weather II — Rain, Thunder, the Parts of Air and Days, and Common Observation</w:t>
            </w:r>
          </w:p>
        </w:tc>
      </w:tr>
      <w:tr>
        <w:tc>
          <w:tcPr>
            <w:tcW w:type="dxa" w:w="900"/>
            <w:shd w:fill="EAF1F6" w:val="clear"/>
            <w:tcMar>
              <w:top w:type="dxa" w:w="100"/>
              <w:left w:type="dxa" w:w="120"/>
              <w:bottom w:type="dxa" w:w="100"/>
              <w:right w:type="dxa" w:w="120"/>
            </w:tcMar>
          </w:tcPr>
          <w:p>
            <w:pPr>
              <w:jc w:val="center"/>
            </w:pPr>
            <w:r>
              <w:rPr>
                <w:b/>
                <w:bCs/>
                <w:color w:val="2B5F82"/>
              </w:rPr>
              <w:t xml:space="preserve">33</w:t>
            </w:r>
          </w:p>
        </w:tc>
        <w:tc>
          <w:tcPr>
            <w:tcW w:type="dxa" w:w="8100"/>
            <w:tcMar>
              <w:top w:type="dxa" w:w="100"/>
              <w:left w:type="dxa" w:w="160"/>
              <w:bottom w:type="dxa" w:w="100"/>
              <w:right w:type="dxa" w:w="120"/>
            </w:tcMar>
          </w:tcPr>
          <w:p>
            <w:r>
              <w:t xml:space="preserve">The Fixed Stars, the Mansions, and the Testimonies of Last Resort</w:t>
            </w:r>
          </w:p>
        </w:tc>
      </w:tr>
      <w:tr>
        <w:tc>
          <w:tcPr>
            <w:tcW w:type="dxa" w:w="900"/>
            <w:shd w:fill="EAF1F6" w:val="clear"/>
            <w:tcMar>
              <w:top w:type="dxa" w:w="100"/>
              <w:left w:type="dxa" w:w="120"/>
              <w:bottom w:type="dxa" w:w="100"/>
              <w:right w:type="dxa" w:w="120"/>
            </w:tcMar>
          </w:tcPr>
          <w:p>
            <w:pPr>
              <w:jc w:val="center"/>
            </w:pPr>
            <w:r>
              <w:rPr>
                <w:b/>
                <w:bCs/>
                <w:color w:val="2B5F82"/>
              </w:rPr>
              <w:t xml:space="preserve">34</w:t>
            </w:r>
          </w:p>
        </w:tc>
        <w:tc>
          <w:tcPr>
            <w:tcW w:type="dxa" w:w="8100"/>
            <w:tcMar>
              <w:top w:type="dxa" w:w="100"/>
              <w:left w:type="dxa" w:w="160"/>
              <w:bottom w:type="dxa" w:w="100"/>
              <w:right w:type="dxa" w:w="120"/>
            </w:tcMar>
          </w:tcPr>
          <w:p>
            <w:r>
              <w:t xml:space="preserve">The Climates and the Geography of Judgement</w:t>
            </w:r>
          </w:p>
        </w:tc>
      </w:tr>
      <w:tr>
        <w:tc>
          <w:tcPr>
            <w:tcW w:type="dxa" w:w="900"/>
            <w:shd w:fill="EAF1F6" w:val="clear"/>
            <w:tcMar>
              <w:top w:type="dxa" w:w="100"/>
              <w:left w:type="dxa" w:w="120"/>
              <w:bottom w:type="dxa" w:w="100"/>
              <w:right w:type="dxa" w:w="120"/>
            </w:tcMar>
          </w:tcPr>
          <w:p>
            <w:pPr>
              <w:jc w:val="center"/>
            </w:pPr>
            <w:r>
              <w:rPr>
                <w:b/>
                <w:bCs/>
                <w:color w:val="2B5F82"/>
              </w:rPr>
              <w:t xml:space="preserve">35</w:t>
            </w:r>
          </w:p>
        </w:tc>
        <w:tc>
          <w:tcPr>
            <w:tcW w:type="dxa" w:w="8100"/>
            <w:tcMar>
              <w:top w:type="dxa" w:w="100"/>
              <w:left w:type="dxa" w:w="160"/>
              <w:bottom w:type="dxa" w:w="100"/>
              <w:right w:type="dxa" w:w="120"/>
            </w:tcMar>
          </w:tcPr>
          <w:p>
            <w:r>
              <w:t xml:space="preserve">The Hierarchy of Testimony</w:t>
            </w:r>
          </w:p>
        </w:tc>
      </w:tr>
      <w:tr>
        <w:tc>
          <w:tcPr>
            <w:tcW w:type="dxa" w:w="900"/>
            <w:shd w:fill="EAF1F6" w:val="clear"/>
            <w:tcMar>
              <w:top w:type="dxa" w:w="100"/>
              <w:left w:type="dxa" w:w="120"/>
              <w:bottom w:type="dxa" w:w="100"/>
              <w:right w:type="dxa" w:w="120"/>
            </w:tcMar>
          </w:tcPr>
          <w:p>
            <w:pPr>
              <w:jc w:val="center"/>
            </w:pPr>
            <w:r>
              <w:rPr>
                <w:b/>
                <w:bCs/>
                <w:color w:val="2B5F82"/>
              </w:rPr>
              <w:t xml:space="preserve">36</w:t>
            </w:r>
          </w:p>
        </w:tc>
        <w:tc>
          <w:tcPr>
            <w:tcW w:type="dxa" w:w="8100"/>
            <w:tcMar>
              <w:top w:type="dxa" w:w="100"/>
              <w:left w:type="dxa" w:w="160"/>
              <w:bottom w:type="dxa" w:w="100"/>
              <w:right w:type="dxa" w:w="120"/>
            </w:tcMar>
          </w:tcPr>
          <w:p>
            <w:r>
              <w:t xml:space="preserve">The Difficult Cases</w:t>
            </w:r>
          </w:p>
        </w:tc>
      </w:tr>
      <w:tr>
        <w:tc>
          <w:tcPr>
            <w:tcW w:type="dxa" w:w="900"/>
            <w:shd w:fill="EAF1F6" w:val="clear"/>
            <w:tcMar>
              <w:top w:type="dxa" w:w="100"/>
              <w:left w:type="dxa" w:w="120"/>
              <w:bottom w:type="dxa" w:w="100"/>
              <w:right w:type="dxa" w:w="120"/>
            </w:tcMar>
          </w:tcPr>
          <w:p>
            <w:pPr>
              <w:jc w:val="center"/>
            </w:pPr>
            <w:r>
              <w:rPr>
                <w:b/>
                <w:bCs/>
                <w:color w:val="2B5F82"/>
              </w:rPr>
              <w:t xml:space="preserve">37</w:t>
            </w:r>
          </w:p>
        </w:tc>
        <w:tc>
          <w:tcPr>
            <w:tcW w:type="dxa" w:w="8100"/>
            <w:tcMar>
              <w:top w:type="dxa" w:w="100"/>
              <w:left w:type="dxa" w:w="160"/>
              <w:bottom w:type="dxa" w:w="100"/>
              <w:right w:type="dxa" w:w="120"/>
            </w:tcMar>
          </w:tcPr>
          <w:p>
            <w:r>
              <w:t xml:space="preserve">The Complete Worked Judgement</w:t>
            </w:r>
          </w:p>
        </w:tc>
      </w:tr>
      <w:tr>
        <w:tc>
          <w:tcPr>
            <w:tcW w:type="dxa" w:w="900"/>
            <w:shd w:fill="EAF1F6" w:val="clear"/>
            <w:tcMar>
              <w:top w:type="dxa" w:w="100"/>
              <w:left w:type="dxa" w:w="120"/>
              <w:bottom w:type="dxa" w:w="100"/>
              <w:right w:type="dxa" w:w="120"/>
            </w:tcMar>
          </w:tcPr>
          <w:p>
            <w:pPr>
              <w:jc w:val="center"/>
            </w:pPr>
            <w:r>
              <w:rPr>
                <w:b/>
                <w:bCs/>
                <w:color w:val="2B5F82"/>
              </w:rPr>
              <w:t xml:space="preserve">38</w:t>
            </w:r>
          </w:p>
        </w:tc>
        <w:tc>
          <w:tcPr>
            <w:tcW w:type="dxa" w:w="8100"/>
            <w:tcMar>
              <w:top w:type="dxa" w:w="100"/>
              <w:left w:type="dxa" w:w="160"/>
              <w:bottom w:type="dxa" w:w="100"/>
              <w:right w:type="dxa" w:w="120"/>
            </w:tcMar>
          </w:tcPr>
          <w:p>
            <w:r>
              <w:t xml:space="preserve">Where the Authorities Disagree — the Declaration Sheet</w:t>
            </w:r>
          </w:p>
        </w:tc>
      </w:tr>
      <w:tr>
        <w:tc>
          <w:tcPr>
            <w:tcW w:type="dxa" w:w="900"/>
            <w:shd w:fill="EAF1F6" w:val="clear"/>
            <w:tcMar>
              <w:top w:type="dxa" w:w="100"/>
              <w:left w:type="dxa" w:w="120"/>
              <w:bottom w:type="dxa" w:w="100"/>
              <w:right w:type="dxa" w:w="120"/>
            </w:tcMar>
          </w:tcPr>
          <w:p>
            <w:pPr>
              <w:jc w:val="center"/>
            </w:pPr>
            <w:r>
              <w:rPr>
                <w:b/>
                <w:bCs/>
                <w:color w:val="2B5F82"/>
              </w:rPr>
              <w:t xml:space="preserve">39</w:t>
            </w:r>
          </w:p>
        </w:tc>
        <w:tc>
          <w:tcPr>
            <w:tcW w:type="dxa" w:w="8100"/>
            <w:tcMar>
              <w:top w:type="dxa" w:w="100"/>
              <w:left w:type="dxa" w:w="160"/>
              <w:bottom w:type="dxa" w:w="100"/>
              <w:right w:type="dxa" w:w="120"/>
            </w:tcMar>
          </w:tcPr>
          <w:p>
            <w:r>
              <w:t xml:space="preserve">The Practicum</w:t>
            </w:r>
          </w:p>
        </w:tc>
      </w:tr>
      <w:tr>
        <w:tc>
          <w:tcPr>
            <w:tcW w:type="dxa" w:w="900"/>
            <w:shd w:fill="EAF1F6" w:val="clear"/>
            <w:tcMar>
              <w:top w:type="dxa" w:w="100"/>
              <w:left w:type="dxa" w:w="120"/>
              <w:bottom w:type="dxa" w:w="100"/>
              <w:right w:type="dxa" w:w="120"/>
            </w:tcMar>
          </w:tcPr>
          <w:p>
            <w:pPr>
              <w:jc w:val="center"/>
            </w:pPr>
            <w:r>
              <w:rPr>
                <w:b/>
                <w:bCs/>
                <w:color w:val="2B5F82"/>
              </w:rPr>
              <w:t xml:space="preserve">40</w:t>
            </w:r>
          </w:p>
        </w:tc>
        <w:tc>
          <w:tcPr>
            <w:tcW w:type="dxa" w:w="8100"/>
            <w:tcMar>
              <w:top w:type="dxa" w:w="100"/>
              <w:left w:type="dxa" w:w="160"/>
              <w:bottom w:type="dxa" w:w="100"/>
              <w:right w:type="dxa" w:w="120"/>
            </w:tcMar>
          </w:tcPr>
          <w:p>
            <w:r>
              <w:t xml:space="preserve">Capstone — Anatomy of a Published Forecast</w:t>
            </w:r>
          </w:p>
        </w:tc>
      </w:tr>
    </w:tbl>
    <w:p/>
    <w:sectPr>
      <w:headerReference w:type="default" r:id="rId7"/>
      <w:footerReference w:type="default" r:id="rId8"/>
      <w:pgSz w:w="12240" w:h="15840" w:orient="portrait"/>
      <w:pgMar w:top="1008" w:right="1123" w:bottom="1008" w:left="1123"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C6770"/>
        <w:sz w:val="18"/>
        <w:szCs w:val="18"/>
      </w:rPr>
      <w:t xml:space="preserve">Page </w:t>
    </w:r>
    <w:r>
      <w:rPr>
        <w:color w:val="5C6770"/>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D4DC" w:sz="4"/>
      </w:pBdr>
      <w:jc w:val="right"/>
    </w:pPr>
    <w:r>
      <w:rPr>
        <w:color w:val="5C6770"/>
        <w:sz w:val="16"/>
        <w:szCs w:val="16"/>
      </w:rPr>
      <w:t xml:space="preserve">Complete Mundane Astrology Course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2026-09-09T12:57:44.494Z</dcterms:created>
  <dcterms:modified xsi:type="dcterms:W3CDTF">2026-09-09T12:57:44.494Z</dcterms:modified>
</cp:coreProperties>
</file>

<file path=docProps/custom.xml><?xml version="1.0" encoding="utf-8"?>
<Properties xmlns="http://schemas.openxmlformats.org/officeDocument/2006/custom-properties" xmlns:vt="http://schemas.openxmlformats.org/officeDocument/2006/docPropsVTypes"/>
</file>