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500"/>
        <w:jc w:val="center"/>
      </w:pPr>
      <w:r>
        <w:rPr>
          <w:b/>
          <w:bCs/>
          <w:color w:val="A67026"/>
          <w:sz w:val="24"/>
          <w:szCs w:val="24"/>
        </w:rPr>
        <w:t xml:space="preserve">AETA</w:t>
      </w:r>
    </w:p>
    <w:p>
      <w:pPr>
        <w:spacing w:after="120"/>
        <w:jc w:val="center"/>
      </w:pPr>
      <w:r>
        <w:rPr>
          <w:b/>
          <w:bCs/>
          <w:color w:val="1C314A"/>
          <w:sz w:val="40"/>
          <w:szCs w:val="40"/>
        </w:rPr>
        <w:t xml:space="preserve">ASTROMETEOROLOGÍA TRADICIONAL</w:t>
      </w:r>
    </w:p>
    <w:p>
      <w:pPr>
        <w:spacing w:after="200"/>
        <w:jc w:val="center"/>
      </w:pPr>
      <w:r>
        <w:rPr>
          <w:b/>
          <w:bCs/>
          <w:color w:val="2B5F82"/>
          <w:sz w:val="26"/>
          <w:szCs w:val="26"/>
        </w:rPr>
        <w:t xml:space="preserve">Programa del curso (Syllabus) · Cursos 1–4</w:t>
      </w:r>
    </w:p>
    <w:p>
      <w:pPr>
        <w:spacing w:after="500"/>
        <w:jc w:val="center"/>
      </w:pPr>
      <w:r>
        <w:rPr>
          <w:color w:val="5C6770"/>
          <w:sz w:val="20"/>
          <w:szCs w:val="20"/>
        </w:rPr>
        <w:t xml:space="preserve">Edición española · David Hernández · AETA</w:t>
      </w:r>
    </w:p>
    <w:p>
      <w:pPr>
        <w:pStyle w:val="Heading1"/>
        <w:spacing w:after="200" w:before="300"/>
      </w:pPr>
      <w:r>
        <w:rPr>
          <w:color w:val="1C314A"/>
        </w:rPr>
        <w:t xml:space="preserve">Por qué enseño esto</w:t>
      </w:r>
    </w:p>
    <w:p>
      <w:pPr>
        <w:spacing w:after="200"/>
        <w:jc w:val="both"/>
      </w:pPr>
      <w:r>
        <w:rPr>
          <w:sz w:val="22"/>
          <w:szCs w:val="22"/>
        </w:rPr>
        <w:t xml:space="preserve">Al principio yo era escéptico. No creía en la astrología. Pero mi esposa visitó a una astróloga y me habló de su experiencia. Aquello despertó mi curiosidad, y terminé consultando a un abogado de Washington, D.C. que también era astrólogo, Chris Warnock; para mi sorpresa, logró interesarme de verdad en el tema. La pregunta que me perseguía era siempre la misma: ¿cómo puedo comprobar que esto realmente funciona?</w:t>
      </w:r>
    </w:p>
    <w:p>
      <w:pPr>
        <w:spacing w:after="200"/>
        <w:jc w:val="both"/>
      </w:pPr>
      <w:r>
        <w:rPr>
          <w:sz w:val="22"/>
          <w:szCs w:val="22"/>
        </w:rPr>
        <w:t xml:space="preserve">Poco después me encontré con una mujer extraordinaria, Carolyn Egan, quien enseñaba astrometeorología. Viviendo yo en el Caribe —el corredor de los huracanes y las tormentas tropicales— pensé que aquí, si en algún lugar, la disciplina tendría que demostrar su valor sin escapatoria posible: o funcionaba, o fracasaba a la vista de todos. Han pasado treinta años desde entonces, y aquí sigo.</w:t>
      </w:r>
    </w:p>
    <w:p>
      <w:pPr>
        <w:pStyle w:val="Heading1"/>
        <w:spacing w:after="200" w:before="300"/>
      </w:pPr>
      <w:r>
        <w:rPr>
          <w:color w:val="1C314A"/>
        </w:rPr>
        <w:t xml:space="preserve">Por qué este momento importa</w:t>
      </w:r>
    </w:p>
    <w:p>
      <w:pPr>
        <w:spacing w:after="200"/>
        <w:jc w:val="both"/>
      </w:pPr>
      <w:r>
        <w:rPr>
          <w:sz w:val="22"/>
          <w:szCs w:val="22"/>
        </w:rPr>
        <w:t xml:space="preserve">La astrometeorología no podría llegar en mejor momento. En los últimos años, los cambios políticos han puesto en entredicho la fiabilidad de los sistemas oficiales de aviso meteorológico. Solo en 2025, la administración estadounidense recortó cerca de 600 puestos en el Servicio Meteorológico Nacional (NWS) —mediante bajas voluntarias y el cese de personal en período de prueba— y propuso reducir el presupuesto general de la NOAA (Administración Nacional Oceánica y Atmosférica) en aproximadamente un 25–28% para el año fiscal 2026, incluyendo la eliminación de su división de investigación climática, la Oficina de Investigación Oceánica y Atmosférica (OAR). El Congreso, con apoyo de ambos partidos, ha resistido buena parte de esos recortes al Servicio Meteorológico Nacional propiamente dicho, pero el debate presupuestario continúa, y las vacantes de personal en oficinas regionales —incluidas algunas que cubren zonas de riesgo de inundación repentina— ya han sido señaladas públicamente como motivo de preocupación por legisladores y gestores de emergencia.</w:t>
      </w:r>
    </w:p>
    <w:p>
      <w:pPr>
        <w:spacing w:after="200"/>
        <w:jc w:val="both"/>
      </w:pPr>
      <w:r>
        <w:rPr>
          <w:sz w:val="22"/>
          <w:szCs w:val="22"/>
        </w:rPr>
        <w:t xml:space="preserve">A esto se suma el cambio climático, que aumenta la frecuencia y la intensidad de los fenómenos extremos —huracanes más fuertes, sequías más largas, inundaciones más súbitas— justo cuando la capacidad institucional para monitorearlos y advertir sobre ellos está siendo cuestionada. En este contexto, ser astrometeorólogo —capaz de leer, de forma independiente y verificable, las mismas señales que los antiguos usaban para anticipar el tiempo— no podría llegar en un momento más oportuno. Si alguna vez quiso poner a prueba la validez de estas técnicas, este es su curso.</w:t>
      </w:r>
    </w:p>
    <w:p>
      <w:pPr>
        <w:pStyle w:val="Heading1"/>
        <w:spacing w:after="200" w:before="300"/>
      </w:pPr>
      <w:r>
        <w:rPr>
          <w:color w:val="1C314A"/>
        </w:rPr>
        <w:t xml:space="preserve">Usando técnicas antiguas</w:t>
      </w:r>
    </w:p>
    <w:p>
      <w:pPr>
        <w:spacing w:after="200"/>
        <w:jc w:val="both"/>
      </w:pPr>
      <w:r>
        <w:rPr>
          <w:sz w:val="22"/>
          <w:szCs w:val="22"/>
        </w:rPr>
        <w:t xml:space="preserve">Este curso no inventa un nuevo sistema: recupera y organiza el que ya existía. Trabaja directamente sobre las fuentes primarias —Ptolomeo, Al-Kindi, Abū Ma'shar, Guido Bonatti, y de manera central la Summa Astrológica de Antonio de Nájera (Lisboa, 1632)— junto con observadores posteriores como Tycho Brahe, Johannes Kepler y William Ramesey, y con la propia compilación previa del autor, Astrometeorology: A Collection of Traditional Methods of Judging and Forecasting Weather. Cada regla se atribuye a su fuente, cada técnica se somete a un procedimiento verificable, y cada pronóstico se registra para poder auditarse después: no basta con que la doctrina sea antigua, tiene que poder probarse hoy.</w:t>
      </w:r>
    </w:p>
    <w:p>
      <w:pPr>
        <w:pageBreakBefore/>
      </w:pPr>
      <w:r>
        <w:br/>
        <w:t xml:space="preserve"/>
      </w:r>
    </w:p>
    <w:p>
      <w:pPr>
        <w:pStyle w:val="Heading1"/>
        <w:spacing w:after="200" w:before="300"/>
      </w:pPr>
      <w:r>
        <w:rPr>
          <w:color w:val="1C314A"/>
        </w:rPr>
        <w:t xml:space="preserve">Programa del curso</w:t>
      </w:r>
    </w:p>
    <w:p>
      <w:pPr>
        <w:spacing w:after="60" w:before="320"/>
      </w:pPr>
      <w:r>
        <w:rPr>
          <w:b/>
          <w:bCs/>
          <w:color w:val="1C314A"/>
          <w:sz w:val="24"/>
          <w:szCs w:val="24"/>
        </w:rPr>
        <w:t xml:space="preserve">Curso 1 — Fundamentos, Cualidades Celestes y el Orden del Juicio Meteorológico</w:t>
      </w:r>
    </w:p>
    <w:p>
      <w:pPr>
        <w:spacing w:after="140"/>
      </w:pPr>
      <w:r>
        <w:rPr>
          <w:i/>
          <w:iCs/>
          <w:color w:val="5C6770"/>
          <w:sz w:val="20"/>
          <w:szCs w:val="20"/>
        </w:rPr>
        <w:t xml:space="preserve">Capítulos 1–8</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Naturaleza y propósito de la astrometeorología</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Las cuatro cualidades, los elementos, las estaciones y los ángulos</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Los quince fundamentos del juicio meteorológico</w:t>
            </w:r>
          </w:p>
        </w:tc>
      </w:tr>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Los signos zodiacales y los siete planetas tradicionales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La Luna, las fases lunares y las mansiones</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Conjunciones, aspectos y alteraciones atmosféricas</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Orden completo de la delineación</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Proyecto final y formularios de pronóstico</w:t>
            </w:r>
          </w:p>
        </w:tc>
      </w:tr>
    </w:tbl>
    <w:p/>
    <w:p>
      <w:pPr>
        <w:spacing w:after="60" w:before="320"/>
      </w:pPr>
      <w:r>
        <w:rPr>
          <w:b/>
          <w:bCs/>
          <w:color w:val="1C314A"/>
          <w:sz w:val="24"/>
          <w:szCs w:val="24"/>
        </w:rPr>
        <w:t xml:space="preserve">Curso 2 — Juicio Aplicado, Mansiones Lunares, Tiempo Severo y Pronóstico Completo</w:t>
      </w:r>
    </w:p>
    <w:p>
      <w:pPr>
        <w:spacing w:after="140"/>
      </w:pPr>
      <w:r>
        <w:rPr>
          <w:i/>
          <w:iCs/>
          <w:color w:val="5C6770"/>
          <w:sz w:val="20"/>
          <w:szCs w:val="20"/>
        </w:rPr>
        <w:t xml:space="preserve">Capítulos 9–16</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La Luna como transmisora y cronometradora</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Las veintiocho mansiones lunares</w:t>
            </w:r>
          </w:p>
        </w:tc>
      </w:tr>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Aspectos planetarios y combinaciones atmosféricas</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Lluvia, viento, tormentas, truenos, nieve, sequía y niebla</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Eclipses, cometas y señales extraordinarias</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El orden completo de la delineación meteorológica</w:t>
            </w:r>
          </w:p>
        </w:tc>
      </w:tr>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Práctica aplicada y estudios de caso</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Auditoría del pronóstico, examen y formularios</w:t>
            </w:r>
          </w:p>
        </w:tc>
      </w:tr>
    </w:tbl>
    <w:p/>
    <w:p>
      <w:pPr>
        <w:spacing w:after="60" w:before="320"/>
      </w:pPr>
      <w:r>
        <w:rPr>
          <w:b/>
          <w:bCs/>
          <w:color w:val="1C314A"/>
          <w:sz w:val="24"/>
          <w:szCs w:val="24"/>
        </w:rPr>
        <w:t xml:space="preserve">Curso 3 — Laboratorio de Pronóstico, Estudio de Fuentes y Práctica Profesional</w:t>
      </w:r>
    </w:p>
    <w:p>
      <w:pPr>
        <w:spacing w:after="140"/>
      </w:pPr>
      <w:r>
        <w:rPr>
          <w:i/>
          <w:iCs/>
          <w:color w:val="5C6770"/>
          <w:sz w:val="20"/>
          <w:szCs w:val="20"/>
        </w:rPr>
        <w:t xml:space="preserve">Capítulos 17–24</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El laboratorio de pronóstico</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Lectura de fuentes históricas y extracción de reglas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Clima local, geografía y condiciones de base</w:t>
            </w:r>
          </w:p>
        </w:tc>
      </w:tr>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Diseño del pronóstico: variables, ventanas y confianza</w:t>
            </w:r>
          </w:p>
        </w:tc>
      </w:tr>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Práctica de pronóstico de ocho semanas</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Tiempo severo, incertidumbre y comunicación ética</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Auditoría de resultados y revisión del método</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Expediente final, examen y guía del instructor</w:t>
            </w:r>
          </w:p>
        </w:tc>
      </w:tr>
    </w:tbl>
    <w:p/>
    <w:p>
      <w:pPr>
        <w:spacing w:after="60" w:before="320"/>
      </w:pPr>
      <w:r>
        <w:rPr>
          <w:b/>
          <w:bCs/>
          <w:color w:val="1C314A"/>
          <w:sz w:val="24"/>
          <w:szCs w:val="24"/>
        </w:rPr>
        <w:t xml:space="preserve">Curso 4 — Pronóstico Anual y Estacional, Síntesis Regional y Certificación Magistral</w:t>
      </w:r>
    </w:p>
    <w:p>
      <w:pPr>
        <w:spacing w:after="140"/>
      </w:pPr>
      <w:r>
        <w:rPr>
          <w:i/>
          <w:iCs/>
          <w:color w:val="5C6770"/>
          <w:sz w:val="20"/>
          <w:szCs w:val="20"/>
        </w:rPr>
        <w:t xml:space="preserve">Capítulos 25–32</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La figura anual y el ingreso de Aries</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Cuartos estacionales y jerarquía de causas</w:t>
            </w:r>
          </w:p>
        </w:tc>
      </w:tr>
      <w:tr>
        <w:tc>
          <w:tcPr>
            <w:tcW w:type="dxa" w:w="900"/>
            <w:shd w:fill="EAF1F6" w:val="clear"/>
            <w:tcMar>
              <w:top w:type="dxa" w:w="100"/>
              <w:left w:type="dxa" w:w="120"/>
              <w:bottom w:type="dxa" w:w="100"/>
              <w:right w:type="dxa" w:w="120"/>
            </w:tcMar>
          </w:tcPr>
          <w:p>
            <w:pPr>
              <w:jc w:val="center"/>
            </w:pPr>
            <w:r>
              <w:rPr>
                <w:b/>
                <w:bCs/>
                <w:color w:val="2B5F82"/>
              </w:rPr>
              <w:t xml:space="preserve">27</w:t>
            </w:r>
          </w:p>
        </w:tc>
        <w:tc>
          <w:tcPr>
            <w:tcW w:type="dxa" w:w="8100"/>
            <w:tcMar>
              <w:top w:type="dxa" w:w="100"/>
              <w:left w:type="dxa" w:w="160"/>
              <w:bottom w:type="dxa" w:w="100"/>
              <w:right w:type="dxa" w:w="120"/>
            </w:tcMar>
          </w:tcPr>
          <w:p>
            <w:r>
              <w:t xml:space="preserve">Lunaciones mensuales y las cuatro figuras lunares</w:t>
            </w:r>
          </w:p>
        </w:tc>
      </w:tr>
      <w:tr>
        <w:tc>
          <w:tcPr>
            <w:tcW w:type="dxa" w:w="900"/>
            <w:shd w:fill="EAF1F6" w:val="clear"/>
            <w:tcMar>
              <w:top w:type="dxa" w:w="100"/>
              <w:left w:type="dxa" w:w="120"/>
              <w:bottom w:type="dxa" w:w="100"/>
              <w:right w:type="dxa" w:w="120"/>
            </w:tcMar>
          </w:tcPr>
          <w:p>
            <w:pPr>
              <w:jc w:val="center"/>
            </w:pPr>
            <w:r>
              <w:rPr>
                <w:b/>
                <w:bCs/>
                <w:color w:val="2B5F82"/>
              </w:rPr>
              <w:t xml:space="preserve">28</w:t>
            </w:r>
          </w:p>
        </w:tc>
        <w:tc>
          <w:tcPr>
            <w:tcW w:type="dxa" w:w="8100"/>
            <w:tcMar>
              <w:top w:type="dxa" w:w="100"/>
              <w:left w:type="dxa" w:w="160"/>
              <w:bottom w:type="dxa" w:w="100"/>
              <w:right w:type="dxa" w:w="120"/>
            </w:tcMar>
          </w:tcPr>
          <w:p>
            <w:r>
              <w:t xml:space="preserve">Cartografía regional, direcciones y manifestación local</w:t>
            </w:r>
          </w:p>
        </w:tc>
      </w:tr>
      <w:tr>
        <w:tc>
          <w:tcPr>
            <w:tcW w:type="dxa" w:w="900"/>
            <w:shd w:fill="EAF1F6" w:val="clear"/>
            <w:tcMar>
              <w:top w:type="dxa" w:w="100"/>
              <w:left w:type="dxa" w:w="120"/>
              <w:bottom w:type="dxa" w:w="100"/>
              <w:right w:type="dxa" w:w="120"/>
            </w:tcMar>
          </w:tcPr>
          <w:p>
            <w:pPr>
              <w:jc w:val="center"/>
            </w:pPr>
            <w:r>
              <w:rPr>
                <w:b/>
                <w:bCs/>
                <w:color w:val="2B5F82"/>
              </w:rPr>
              <w:t xml:space="preserve">29</w:t>
            </w:r>
          </w:p>
        </w:tc>
        <w:tc>
          <w:tcPr>
            <w:tcW w:type="dxa" w:w="8100"/>
            <w:tcMar>
              <w:top w:type="dxa" w:w="100"/>
              <w:left w:type="dxa" w:w="160"/>
              <w:bottom w:type="dxa" w:w="100"/>
              <w:right w:type="dxa" w:w="120"/>
            </w:tcMar>
          </w:tcPr>
          <w:p>
            <w:r>
              <w:t xml:space="preserve">Tiempo, activación y ventanas meteorológicas críticas</w:t>
            </w:r>
          </w:p>
        </w:tc>
      </w:tr>
      <w:tr>
        <w:tc>
          <w:tcPr>
            <w:tcW w:type="dxa" w:w="900"/>
            <w:shd w:fill="EAF1F6" w:val="clear"/>
            <w:tcMar>
              <w:top w:type="dxa" w:w="100"/>
              <w:left w:type="dxa" w:w="120"/>
              <w:bottom w:type="dxa" w:w="100"/>
              <w:right w:type="dxa" w:w="120"/>
            </w:tcMar>
          </w:tcPr>
          <w:p>
            <w:pPr>
              <w:jc w:val="center"/>
            </w:pPr>
            <w:r>
              <w:rPr>
                <w:b/>
                <w:bCs/>
                <w:color w:val="2B5F82"/>
              </w:rPr>
              <w:t xml:space="preserve">30</w:t>
            </w:r>
          </w:p>
        </w:tc>
        <w:tc>
          <w:tcPr>
            <w:tcW w:type="dxa" w:w="8100"/>
            <w:tcMar>
              <w:top w:type="dxa" w:w="100"/>
              <w:left w:type="dxa" w:w="160"/>
              <w:bottom w:type="dxa" w:w="100"/>
              <w:right w:type="dxa" w:w="120"/>
            </w:tcMar>
          </w:tcPr>
          <w:p>
            <w:r>
              <w:t xml:space="preserve">Eclipses, cometas y afirmaciones extraordinarias</w:t>
            </w:r>
          </w:p>
        </w:tc>
      </w:tr>
      <w:tr>
        <w:tc>
          <w:tcPr>
            <w:tcW w:type="dxa" w:w="900"/>
            <w:shd w:fill="EAF1F6" w:val="clear"/>
            <w:tcMar>
              <w:top w:type="dxa" w:w="100"/>
              <w:left w:type="dxa" w:w="120"/>
              <w:bottom w:type="dxa" w:w="100"/>
              <w:right w:type="dxa" w:w="120"/>
            </w:tcMar>
          </w:tcPr>
          <w:p>
            <w:pPr>
              <w:jc w:val="center"/>
            </w:pPr>
            <w:r>
              <w:rPr>
                <w:b/>
                <w:bCs/>
                <w:color w:val="2B5F82"/>
              </w:rPr>
              <w:t xml:space="preserve">31</w:t>
            </w:r>
          </w:p>
        </w:tc>
        <w:tc>
          <w:tcPr>
            <w:tcW w:type="dxa" w:w="8100"/>
            <w:tcMar>
              <w:top w:type="dxa" w:w="100"/>
              <w:left w:type="dxa" w:w="160"/>
              <w:bottom w:type="dxa" w:w="100"/>
              <w:right w:type="dxa" w:w="120"/>
            </w:tcMar>
          </w:tcPr>
          <w:p>
            <w:r>
              <w:t xml:space="preserve">Redacción profesional, verificación y publicación</w:t>
            </w:r>
          </w:p>
        </w:tc>
      </w:tr>
      <w:tr>
        <w:tc>
          <w:tcPr>
            <w:tcW w:type="dxa" w:w="900"/>
            <w:shd w:fill="EAF1F6" w:val="clear"/>
            <w:tcMar>
              <w:top w:type="dxa" w:w="100"/>
              <w:left w:type="dxa" w:w="120"/>
              <w:bottom w:type="dxa" w:w="100"/>
              <w:right w:type="dxa" w:w="120"/>
            </w:tcMar>
          </w:tcPr>
          <w:p>
            <w:pPr>
              <w:jc w:val="center"/>
            </w:pPr>
            <w:r>
              <w:rPr>
                <w:b/>
                <w:bCs/>
                <w:color w:val="2B5F82"/>
              </w:rPr>
              <w:t xml:space="preserve">32</w:t>
            </w:r>
          </w:p>
        </w:tc>
        <w:tc>
          <w:tcPr>
            <w:tcW w:type="dxa" w:w="8100"/>
            <w:tcMar>
              <w:top w:type="dxa" w:w="100"/>
              <w:left w:type="dxa" w:w="160"/>
              <w:bottom w:type="dxa" w:w="100"/>
              <w:right w:type="dxa" w:w="120"/>
            </w:tcMar>
          </w:tcPr>
          <w:p>
            <w:r>
              <w:t xml:space="preserve">Expediente de certificación magistral y examen final</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Página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AETA · Astrometeorología Tradicional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2026-09-09T13:10:08.917Z</dcterms:created>
  <dcterms:modified xsi:type="dcterms:W3CDTF">2026-09-09T13:10:08.930Z</dcterms:modified>
</cp:coreProperties>
</file>

<file path=docProps/custom.xml><?xml version="1.0" encoding="utf-8"?>
<Properties xmlns="http://schemas.openxmlformats.org/officeDocument/2006/custom-properties" xmlns:vt="http://schemas.openxmlformats.org/officeDocument/2006/docPropsVTypes"/>
</file>